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16" w:rsidRPr="00444A93" w:rsidRDefault="00C50CBB" w:rsidP="00444A93">
      <w:pPr>
        <w:pStyle w:val="UBx-corpsdetexte"/>
        <w:tabs>
          <w:tab w:val="clear" w:pos="2127"/>
          <w:tab w:val="left" w:pos="-2552"/>
        </w:tabs>
        <w:ind w:left="0" w:firstLine="0"/>
        <w:rPr>
          <w:rFonts w:ascii="Arial" w:hAnsi="Arial"/>
          <w:b/>
          <w:color w:val="4A442A" w:themeColor="background2" w:themeShade="40"/>
          <w:sz w:val="52"/>
          <w:szCs w:val="52"/>
        </w:rPr>
      </w:pPr>
      <w:r>
        <w:rPr>
          <w:rFonts w:ascii="Arial" w:hAnsi="Arial"/>
          <w:b/>
          <w:color w:val="4A442A" w:themeColor="background2" w:themeShade="40"/>
          <w:sz w:val="52"/>
          <w:szCs w:val="52"/>
        </w:rPr>
        <w:t>Réunion du groupe projet « chantier</w:t>
      </w:r>
      <w:r w:rsidR="00F615C9" w:rsidRPr="00444A93">
        <w:rPr>
          <w:rFonts w:ascii="Arial" w:hAnsi="Arial"/>
          <w:b/>
          <w:color w:val="4A442A" w:themeColor="background2" w:themeShade="40"/>
          <w:sz w:val="52"/>
          <w:szCs w:val="52"/>
        </w:rPr>
        <w:t xml:space="preserve"> nettoyage de la base</w:t>
      </w:r>
      <w:r>
        <w:rPr>
          <w:rFonts w:ascii="Arial" w:hAnsi="Arial"/>
          <w:b/>
          <w:color w:val="4A442A" w:themeColor="background2" w:themeShade="40"/>
          <w:sz w:val="52"/>
          <w:szCs w:val="52"/>
        </w:rPr>
        <w:t> ».</w:t>
      </w:r>
      <w:r w:rsidR="00F615C9" w:rsidRPr="00444A93">
        <w:rPr>
          <w:rFonts w:ascii="Arial" w:hAnsi="Arial"/>
          <w:b/>
          <w:color w:val="4A442A" w:themeColor="background2" w:themeShade="40"/>
          <w:sz w:val="52"/>
          <w:szCs w:val="52"/>
        </w:rPr>
        <w:t xml:space="preserve"> (3eme vague)</w:t>
      </w:r>
    </w:p>
    <w:p w:rsidR="001C4812" w:rsidRDefault="001C4812" w:rsidP="00AB578C">
      <w:pPr>
        <w:pStyle w:val="UBx-corpsdetexte"/>
      </w:pPr>
    </w:p>
    <w:p w:rsidR="000B3116" w:rsidRDefault="00B26E5A" w:rsidP="00444A93">
      <w:pPr>
        <w:pStyle w:val="UBx-corpsdetexte"/>
        <w:pBdr>
          <w:bottom w:val="single" w:sz="4" w:space="1" w:color="auto"/>
        </w:pBdr>
        <w:tabs>
          <w:tab w:val="clear" w:pos="2127"/>
          <w:tab w:val="left" w:pos="-2552"/>
        </w:tabs>
        <w:ind w:left="0" w:firstLine="0"/>
        <w:rPr>
          <w:rFonts w:ascii="Arial" w:hAnsi="Arial"/>
          <w:b/>
          <w:color w:val="4A442A" w:themeColor="background2" w:themeShade="40"/>
          <w:szCs w:val="22"/>
        </w:rPr>
      </w:pPr>
      <w:r w:rsidRPr="00444A93">
        <w:rPr>
          <w:rFonts w:ascii="Arial" w:hAnsi="Arial"/>
          <w:b/>
          <w:color w:val="4A442A" w:themeColor="background2" w:themeShade="40"/>
          <w:szCs w:val="22"/>
        </w:rPr>
        <w:t>Date</w:t>
      </w:r>
      <w:r w:rsidR="001C4812" w:rsidRPr="00444A93">
        <w:rPr>
          <w:rFonts w:ascii="Arial" w:hAnsi="Arial"/>
          <w:b/>
          <w:color w:val="4A442A" w:themeColor="background2" w:themeShade="40"/>
          <w:szCs w:val="22"/>
        </w:rPr>
        <w:t> </w:t>
      </w:r>
      <w:r w:rsidR="00B752B2" w:rsidRPr="00444A93">
        <w:rPr>
          <w:rFonts w:ascii="Arial" w:hAnsi="Arial"/>
          <w:b/>
          <w:color w:val="4A442A" w:themeColor="background2" w:themeShade="40"/>
          <w:szCs w:val="22"/>
        </w:rPr>
        <w:t>: 9</w:t>
      </w:r>
      <w:r w:rsidR="00F615C9" w:rsidRPr="00444A93">
        <w:rPr>
          <w:rFonts w:ascii="Arial" w:hAnsi="Arial"/>
          <w:b/>
          <w:color w:val="4A442A" w:themeColor="background2" w:themeShade="40"/>
          <w:szCs w:val="22"/>
        </w:rPr>
        <w:t>/01/2017</w:t>
      </w:r>
    </w:p>
    <w:p w:rsidR="00C50CBB" w:rsidRPr="00444A93" w:rsidRDefault="00C50CBB" w:rsidP="00444A93">
      <w:pPr>
        <w:pStyle w:val="UBx-corpsdetexte"/>
        <w:pBdr>
          <w:bottom w:val="single" w:sz="4" w:space="1" w:color="auto"/>
        </w:pBdr>
        <w:tabs>
          <w:tab w:val="clear" w:pos="2127"/>
          <w:tab w:val="left" w:pos="-2552"/>
        </w:tabs>
        <w:ind w:left="0" w:firstLine="0"/>
        <w:rPr>
          <w:rFonts w:ascii="Arial" w:hAnsi="Arial"/>
          <w:b/>
          <w:color w:val="4A442A" w:themeColor="background2" w:themeShade="40"/>
          <w:szCs w:val="22"/>
        </w:rPr>
      </w:pPr>
    </w:p>
    <w:p w:rsidR="00C50CBB" w:rsidRDefault="00C50CBB" w:rsidP="00C50CBB">
      <w:pPr>
        <w:pStyle w:val="UBx-corpsdetexte"/>
        <w:ind w:left="0" w:firstLine="0"/>
        <w:rPr>
          <w:rFonts w:ascii="Arial" w:hAnsi="Arial"/>
          <w:b/>
          <w:color w:val="4A442A" w:themeColor="background2" w:themeShade="40"/>
        </w:rPr>
      </w:pPr>
    </w:p>
    <w:p w:rsidR="00C50CBB" w:rsidRDefault="00B26E5A" w:rsidP="00C50CBB">
      <w:pPr>
        <w:pStyle w:val="UBx-corpsdetexte"/>
        <w:ind w:left="0" w:firstLine="0"/>
        <w:rPr>
          <w:rFonts w:ascii="Arial" w:hAnsi="Arial"/>
          <w:color w:val="4A442A" w:themeColor="background2" w:themeShade="40"/>
        </w:rPr>
      </w:pPr>
      <w:r w:rsidRPr="00C50CBB">
        <w:rPr>
          <w:rFonts w:ascii="Arial" w:hAnsi="Arial"/>
          <w:b/>
          <w:color w:val="4A442A" w:themeColor="background2" w:themeShade="40"/>
        </w:rPr>
        <w:t>Rédacteur(s)</w:t>
      </w:r>
      <w:r w:rsidR="000B3116" w:rsidRPr="00C50CBB">
        <w:rPr>
          <w:rFonts w:ascii="Arial" w:hAnsi="Arial"/>
          <w:b/>
          <w:color w:val="4A442A" w:themeColor="background2" w:themeShade="40"/>
        </w:rPr>
        <w:t> :</w:t>
      </w:r>
      <w:r w:rsidR="00F615C9" w:rsidRPr="00444A93">
        <w:rPr>
          <w:rFonts w:ascii="Arial" w:hAnsi="Arial"/>
          <w:color w:val="4A442A" w:themeColor="background2" w:themeShade="40"/>
        </w:rPr>
        <w:t xml:space="preserve"> François Lagard</w:t>
      </w:r>
      <w:r w:rsidR="00892EC2" w:rsidRPr="00444A93">
        <w:rPr>
          <w:rFonts w:ascii="Arial" w:hAnsi="Arial"/>
          <w:color w:val="4A442A" w:themeColor="background2" w:themeShade="40"/>
        </w:rPr>
        <w:t>e, Alexandre Faure</w:t>
      </w:r>
      <w:r w:rsidR="00C50CBB">
        <w:rPr>
          <w:rFonts w:ascii="Arial" w:hAnsi="Arial"/>
          <w:color w:val="4A442A" w:themeColor="background2" w:themeShade="40"/>
        </w:rPr>
        <w:t xml:space="preserve"> </w:t>
      </w:r>
    </w:p>
    <w:p w:rsidR="00B26E5A" w:rsidRDefault="001C4812" w:rsidP="00C50CBB">
      <w:pPr>
        <w:pStyle w:val="UBx-corpsdetexte"/>
        <w:ind w:left="0" w:firstLine="0"/>
        <w:rPr>
          <w:rFonts w:ascii="Arial" w:hAnsi="Arial"/>
          <w:color w:val="4A442A" w:themeColor="background2" w:themeShade="40"/>
        </w:rPr>
      </w:pPr>
      <w:r w:rsidRPr="00C50CBB">
        <w:rPr>
          <w:rFonts w:ascii="Arial" w:hAnsi="Arial"/>
          <w:b/>
          <w:color w:val="4A442A" w:themeColor="background2" w:themeShade="40"/>
        </w:rPr>
        <w:t>P</w:t>
      </w:r>
      <w:r w:rsidR="000B3116" w:rsidRPr="00C50CBB">
        <w:rPr>
          <w:rFonts w:ascii="Arial" w:hAnsi="Arial"/>
          <w:b/>
          <w:color w:val="4A442A" w:themeColor="background2" w:themeShade="40"/>
        </w:rPr>
        <w:t>résents :</w:t>
      </w:r>
      <w:r w:rsidR="00892EC2" w:rsidRPr="00444A93">
        <w:rPr>
          <w:rFonts w:ascii="Arial" w:hAnsi="Arial"/>
          <w:color w:val="4A442A" w:themeColor="background2" w:themeShade="40"/>
        </w:rPr>
        <w:t xml:space="preserve"> </w:t>
      </w:r>
      <w:r w:rsidR="00CD5630" w:rsidRPr="00444A93">
        <w:rPr>
          <w:rFonts w:ascii="Arial" w:hAnsi="Arial"/>
          <w:color w:val="4A442A" w:themeColor="background2" w:themeShade="40"/>
        </w:rPr>
        <w:t xml:space="preserve">Aurélie Baque, </w:t>
      </w:r>
      <w:r w:rsidR="00892EC2" w:rsidRPr="00444A93">
        <w:rPr>
          <w:rFonts w:ascii="Arial" w:hAnsi="Arial"/>
          <w:color w:val="4A442A" w:themeColor="background2" w:themeShade="40"/>
        </w:rPr>
        <w:t>Antoine Barthélémy,</w:t>
      </w:r>
      <w:r w:rsidR="00CD5630" w:rsidRPr="00444A93">
        <w:rPr>
          <w:rFonts w:ascii="Arial" w:hAnsi="Arial"/>
          <w:color w:val="4A442A" w:themeColor="background2" w:themeShade="40"/>
        </w:rPr>
        <w:t xml:space="preserve"> Françoise Coulon</w:t>
      </w:r>
      <w:r w:rsidR="00CD5630" w:rsidRPr="00C50CBB">
        <w:rPr>
          <w:rFonts w:ascii="Arial" w:hAnsi="Arial"/>
          <w:color w:val="4A442A" w:themeColor="background2" w:themeShade="40"/>
        </w:rPr>
        <w:t xml:space="preserve">, Alexandre Faure, </w:t>
      </w:r>
      <w:r w:rsidR="00892EC2" w:rsidRPr="00C50CBB">
        <w:rPr>
          <w:rFonts w:ascii="Arial" w:hAnsi="Arial"/>
          <w:color w:val="4A442A" w:themeColor="background2" w:themeShade="40"/>
        </w:rPr>
        <w:t>Pierre Gravier, Hélène Plouseau Guédé</w:t>
      </w:r>
      <w:r w:rsidR="00C50CBB">
        <w:rPr>
          <w:rFonts w:ascii="Arial" w:hAnsi="Arial"/>
          <w:color w:val="4A442A" w:themeColor="background2" w:themeShade="40"/>
        </w:rPr>
        <w:t>.</w:t>
      </w:r>
    </w:p>
    <w:p w:rsidR="00C50CBB" w:rsidRDefault="00C50CBB" w:rsidP="00C50CBB">
      <w:pPr>
        <w:pStyle w:val="UBx-corpsdetexte"/>
        <w:ind w:left="0" w:firstLine="0"/>
        <w:rPr>
          <w:rFonts w:ascii="Arial" w:hAnsi="Arial"/>
          <w:b/>
          <w:color w:val="4A442A" w:themeColor="background2" w:themeShade="40"/>
        </w:rPr>
      </w:pPr>
      <w:r w:rsidRPr="00C50CBB">
        <w:rPr>
          <w:rFonts w:ascii="Arial" w:hAnsi="Arial"/>
          <w:b/>
          <w:color w:val="4A442A" w:themeColor="background2" w:themeShade="40"/>
        </w:rPr>
        <w:t>Excusés :</w:t>
      </w:r>
    </w:p>
    <w:p w:rsidR="000B3116" w:rsidRDefault="001C4812" w:rsidP="00C50CBB">
      <w:pPr>
        <w:pStyle w:val="UBx-corpsdetexte"/>
        <w:ind w:left="0" w:firstLine="0"/>
        <w:rPr>
          <w:rFonts w:ascii="Arial" w:hAnsi="Arial"/>
          <w:color w:val="4A442A" w:themeColor="background2" w:themeShade="40"/>
        </w:rPr>
      </w:pPr>
      <w:r w:rsidRPr="00C50CBB">
        <w:rPr>
          <w:rFonts w:ascii="Arial" w:hAnsi="Arial"/>
          <w:b/>
          <w:color w:val="4A442A" w:themeColor="background2" w:themeShade="40"/>
        </w:rPr>
        <w:t>O</w:t>
      </w:r>
      <w:r w:rsidR="000B3116" w:rsidRPr="00C50CBB">
        <w:rPr>
          <w:rFonts w:ascii="Arial" w:hAnsi="Arial"/>
          <w:b/>
          <w:color w:val="4A442A" w:themeColor="background2" w:themeShade="40"/>
        </w:rPr>
        <w:t xml:space="preserve">rdre du jour : </w:t>
      </w:r>
      <w:r w:rsidR="00CD5630" w:rsidRPr="00C50CBB">
        <w:rPr>
          <w:rFonts w:ascii="Arial" w:hAnsi="Arial"/>
          <w:color w:val="4A442A" w:themeColor="background2" w:themeShade="40"/>
        </w:rPr>
        <w:t>A</w:t>
      </w:r>
      <w:r w:rsidR="00F615C9" w:rsidRPr="00C50CBB">
        <w:rPr>
          <w:rFonts w:ascii="Arial" w:hAnsi="Arial"/>
          <w:color w:val="4A442A" w:themeColor="background2" w:themeShade="40"/>
        </w:rPr>
        <w:t>n</w:t>
      </w:r>
      <w:r w:rsidR="00CD5630" w:rsidRPr="00C50CBB">
        <w:rPr>
          <w:rFonts w:ascii="Arial" w:hAnsi="Arial"/>
          <w:color w:val="4A442A" w:themeColor="background2" w:themeShade="40"/>
        </w:rPr>
        <w:t>alyse des fichiers résultats de la 3ème vague des</w:t>
      </w:r>
      <w:r w:rsidR="00F615C9" w:rsidRPr="00C50CBB">
        <w:rPr>
          <w:rFonts w:ascii="Arial" w:hAnsi="Arial"/>
          <w:color w:val="4A442A" w:themeColor="background2" w:themeShade="40"/>
        </w:rPr>
        <w:t xml:space="preserve"> requêtes </w:t>
      </w:r>
      <w:r w:rsidR="00CD5630" w:rsidRPr="00C50CBB">
        <w:rPr>
          <w:rFonts w:ascii="Arial" w:hAnsi="Arial"/>
          <w:color w:val="4A442A" w:themeColor="background2" w:themeShade="40"/>
        </w:rPr>
        <w:t>sur le différentiel Sudoc/Horizon et les</w:t>
      </w:r>
      <w:r w:rsidR="00F615C9" w:rsidRPr="00C50CBB">
        <w:rPr>
          <w:rFonts w:ascii="Arial" w:hAnsi="Arial"/>
          <w:color w:val="4A442A" w:themeColor="background2" w:themeShade="40"/>
        </w:rPr>
        <w:t xml:space="preserve"> notices locales. </w:t>
      </w:r>
    </w:p>
    <w:p w:rsidR="00C50CBB" w:rsidRPr="00444A93" w:rsidRDefault="00C50CBB" w:rsidP="00C50CBB">
      <w:pPr>
        <w:pStyle w:val="UBx-corpsdetexte"/>
        <w:pBdr>
          <w:bottom w:val="single" w:sz="4" w:space="1" w:color="auto"/>
        </w:pBdr>
        <w:tabs>
          <w:tab w:val="clear" w:pos="2127"/>
          <w:tab w:val="left" w:pos="-2552"/>
        </w:tabs>
        <w:ind w:left="0" w:firstLine="0"/>
        <w:rPr>
          <w:rFonts w:ascii="Arial" w:hAnsi="Arial"/>
          <w:b/>
          <w:color w:val="4A442A" w:themeColor="background2" w:themeShade="40"/>
          <w:szCs w:val="22"/>
        </w:rPr>
      </w:pPr>
    </w:p>
    <w:p w:rsidR="00C50CBB" w:rsidRDefault="00C50CBB" w:rsidP="00C50CBB">
      <w:pPr>
        <w:pStyle w:val="UBx-corpsdetexte"/>
        <w:ind w:left="0" w:firstLine="0"/>
        <w:rPr>
          <w:rFonts w:ascii="Arial" w:hAnsi="Arial"/>
          <w:b/>
          <w:color w:val="4A442A" w:themeColor="background2" w:themeShade="40"/>
        </w:rPr>
      </w:pPr>
    </w:p>
    <w:p w:rsidR="00E5059A" w:rsidRPr="00E5059A" w:rsidRDefault="00CD5630" w:rsidP="00AB578C">
      <w:pPr>
        <w:pStyle w:val="UBx-titreniveau1"/>
      </w:pPr>
      <w:r>
        <w:t>Différentiel SUDOC/Horizon</w:t>
      </w:r>
    </w:p>
    <w:p w:rsidR="003F36D6" w:rsidRDefault="003F36D6" w:rsidP="00AB578C">
      <w:pPr>
        <w:rPr>
          <w:rFonts w:eastAsia="Arial Unicode MS"/>
          <w:u w:color="000000"/>
        </w:rPr>
      </w:pPr>
      <w:r>
        <w:rPr>
          <w:rFonts w:eastAsia="Arial Unicode MS"/>
          <w:u w:color="000000"/>
        </w:rPr>
        <w:t>Le SCOOP a mené</w:t>
      </w:r>
      <w:r w:rsidR="001F2B2B">
        <w:rPr>
          <w:rFonts w:eastAsia="Arial Unicode MS"/>
          <w:u w:color="000000"/>
        </w:rPr>
        <w:t xml:space="preserve"> </w:t>
      </w:r>
      <w:r w:rsidR="001F2B2B" w:rsidRPr="00ED2E78">
        <w:rPr>
          <w:rFonts w:eastAsia="Arial Unicode MS"/>
          <w:u w:color="000000"/>
        </w:rPr>
        <w:t>pendant</w:t>
      </w:r>
      <w:r w:rsidRPr="00ED2E78">
        <w:rPr>
          <w:rFonts w:eastAsia="Arial Unicode MS"/>
          <w:u w:color="000000"/>
        </w:rPr>
        <w:t xml:space="preserve"> </w:t>
      </w:r>
      <w:r>
        <w:rPr>
          <w:rFonts w:eastAsia="Arial Unicode MS"/>
          <w:u w:color="000000"/>
        </w:rPr>
        <w:t xml:space="preserve">les deux premières semaines de </w:t>
      </w:r>
      <w:r w:rsidR="001F2B2B">
        <w:rPr>
          <w:rFonts w:eastAsia="Arial Unicode MS"/>
          <w:u w:color="000000"/>
        </w:rPr>
        <w:t>d</w:t>
      </w:r>
      <w:r>
        <w:rPr>
          <w:rFonts w:eastAsia="Arial Unicode MS"/>
          <w:u w:color="000000"/>
        </w:rPr>
        <w:t xml:space="preserve">écembre l’analyse du différentiel entre les notices sous lesquelles les établissements de l’ILN 15 sont localisés dans le SUDOC et les notices avec PPN présentes dans Horizon. </w:t>
      </w:r>
      <w:bookmarkStart w:id="0" w:name="_GoBack"/>
      <w:bookmarkEnd w:id="0"/>
    </w:p>
    <w:p w:rsidR="00435ACB" w:rsidRDefault="003F36D6" w:rsidP="00AB578C">
      <w:pPr>
        <w:rPr>
          <w:rFonts w:eastAsia="Arial Unicode MS"/>
          <w:u w:color="000000"/>
        </w:rPr>
      </w:pPr>
      <w:r>
        <w:rPr>
          <w:rFonts w:eastAsia="Arial Unicode MS"/>
          <w:u w:color="000000"/>
        </w:rPr>
        <w:t>Pour rappel, le programme est lancé à partir d’une extraction SUDOC qui liste dans un fichier tous les PPN des notices sous lesquels un RCR est localisé. Pour chaque notice il regarde si une correspondance existe dans Horizon et si un exemplaire lié à la division analysée est bien présent</w:t>
      </w:r>
      <w:r w:rsidR="00871A70">
        <w:rPr>
          <w:rFonts w:eastAsia="Arial Unicode MS"/>
          <w:u w:color="000000"/>
        </w:rPr>
        <w:t xml:space="preserve"> dans le SIGB</w:t>
      </w:r>
      <w:r>
        <w:rPr>
          <w:rFonts w:eastAsia="Arial Unicode MS"/>
          <w:u w:color="000000"/>
        </w:rPr>
        <w:t>.</w:t>
      </w:r>
    </w:p>
    <w:p w:rsidR="003F36D6" w:rsidRDefault="003F36D6" w:rsidP="00AB578C">
      <w:pPr>
        <w:rPr>
          <w:rFonts w:eastAsia="Arial Unicode MS"/>
          <w:u w:color="000000"/>
        </w:rPr>
      </w:pPr>
      <w:r>
        <w:rPr>
          <w:rFonts w:eastAsia="Arial Unicode MS"/>
          <w:u w:color="000000"/>
        </w:rPr>
        <w:t>Ensuite, il regarde si la bibliothèque ne possède pas des notices avec PPN sous lesquelles elle ne serait pas localisée dans le SUDOC.</w:t>
      </w:r>
    </w:p>
    <w:p w:rsidR="00D80F52" w:rsidRDefault="008066F5" w:rsidP="00AB578C">
      <w:pPr>
        <w:rPr>
          <w:rFonts w:eastAsia="Arial Unicode MS"/>
          <w:u w:color="000000"/>
        </w:rPr>
      </w:pPr>
      <w:r>
        <w:rPr>
          <w:rFonts w:eastAsia="Arial Unicode MS"/>
          <w:u w:color="000000"/>
        </w:rPr>
        <w:t>Le résultat de l’analyse peut être téléchargé à l’adresse suivante</w:t>
      </w:r>
      <w:r w:rsidR="00AA1456">
        <w:rPr>
          <w:rFonts w:eastAsia="Arial Unicode MS"/>
          <w:u w:color="000000"/>
        </w:rPr>
        <w:t xml:space="preserve"> : </w:t>
      </w:r>
      <w:hyperlink r:id="rId8" w:history="1">
        <w:r w:rsidR="00AA1456" w:rsidRPr="00AA1456">
          <w:rPr>
            <w:rStyle w:val="Lienhypertexte"/>
            <w:rFonts w:ascii="Times New Roman" w:eastAsia="Arial Unicode MS" w:hAnsi="Times New Roman"/>
            <w:szCs w:val="22"/>
            <w:u w:color="000000"/>
          </w:rPr>
          <w:t>https://nuxeo.u-bordeaux.fr/nuxeo/nxdoc/default/f9d128c3-dba9-4370-a58c-bb7db9f0490b/view_documents</w:t>
        </w:r>
      </w:hyperlink>
      <w:r w:rsidR="00AA1456">
        <w:rPr>
          <w:rFonts w:eastAsia="Arial Unicode MS"/>
          <w:u w:color="000000"/>
        </w:rPr>
        <w:t xml:space="preserve"> </w:t>
      </w:r>
    </w:p>
    <w:p w:rsidR="00D80F52" w:rsidRDefault="00770C71" w:rsidP="00AB578C">
      <w:pPr>
        <w:pStyle w:val="Ubx-titreniveau2"/>
        <w:rPr>
          <w:rFonts w:eastAsia="Arial Unicode MS"/>
          <w:u w:color="000000"/>
        </w:rPr>
      </w:pPr>
      <w:r>
        <w:rPr>
          <w:rFonts w:eastAsia="Arial Unicode MS"/>
          <w:u w:color="000000"/>
        </w:rPr>
        <w:t>Type d’anomalies signalées</w:t>
      </w:r>
    </w:p>
    <w:p w:rsidR="00900091" w:rsidRDefault="00900091" w:rsidP="00AB578C">
      <w:pPr>
        <w:rPr>
          <w:rFonts w:eastAsia="Arial Unicode MS"/>
          <w:u w:color="000000"/>
        </w:rPr>
        <w:sectPr w:rsidR="00900091" w:rsidSect="00E5059A">
          <w:headerReference w:type="even" r:id="rId9"/>
          <w:headerReference w:type="default" r:id="rId10"/>
          <w:footerReference w:type="even" r:id="rId11"/>
          <w:footerReference w:type="default" r:id="rId12"/>
          <w:headerReference w:type="first" r:id="rId13"/>
          <w:footerReference w:type="first" r:id="rId14"/>
          <w:pgSz w:w="11906" w:h="16838" w:code="9"/>
          <w:pgMar w:top="2947" w:right="707" w:bottom="1701" w:left="709" w:header="573" w:footer="703" w:gutter="0"/>
          <w:cols w:space="708"/>
          <w:titlePg/>
          <w:docGrid w:linePitch="360"/>
        </w:sectPr>
      </w:pPr>
      <w:r>
        <w:rPr>
          <w:rFonts w:eastAsia="Arial Unicode MS"/>
          <w:u w:color="000000"/>
        </w:rPr>
        <w:t>Le tableau ci-dessous récapitule les différentes anomalies signalées et les différents types de résolution automatisée pouvant être proposées :</w:t>
      </w:r>
    </w:p>
    <w:tbl>
      <w:tblPr>
        <w:tblStyle w:val="TableauGrille5Fonc-Accentuation2"/>
        <w:tblW w:w="15426" w:type="dxa"/>
        <w:tblLook w:val="04A0" w:firstRow="1" w:lastRow="0" w:firstColumn="1" w:lastColumn="0" w:noHBand="0" w:noVBand="1"/>
      </w:tblPr>
      <w:tblGrid>
        <w:gridCol w:w="1220"/>
        <w:gridCol w:w="2488"/>
        <w:gridCol w:w="2993"/>
        <w:gridCol w:w="1483"/>
        <w:gridCol w:w="1128"/>
        <w:gridCol w:w="1399"/>
        <w:gridCol w:w="1167"/>
        <w:gridCol w:w="1429"/>
        <w:gridCol w:w="2119"/>
      </w:tblGrid>
      <w:tr w:rsidR="00770C71" w:rsidRPr="00900091" w:rsidTr="00BE1EFF">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20" w:type="dxa"/>
            <w:hideMark/>
          </w:tcPr>
          <w:p w:rsidR="00900091" w:rsidRPr="00900091" w:rsidRDefault="00900091" w:rsidP="00AB578C">
            <w:r w:rsidRPr="00900091">
              <w:lastRenderedPageBreak/>
              <w:t>Onglet</w:t>
            </w:r>
          </w:p>
        </w:tc>
        <w:tc>
          <w:tcPr>
            <w:tcW w:w="2488"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Intitulé</w:t>
            </w:r>
          </w:p>
        </w:tc>
        <w:tc>
          <w:tcPr>
            <w:tcW w:w="2993"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Description/Commentaire</w:t>
            </w:r>
          </w:p>
        </w:tc>
        <w:tc>
          <w:tcPr>
            <w:tcW w:w="1483"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Localisation dans le SUDOC</w:t>
            </w:r>
          </w:p>
        </w:tc>
        <w:tc>
          <w:tcPr>
            <w:tcW w:w="1128"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Notice Présente dans Horizon</w:t>
            </w:r>
          </w:p>
        </w:tc>
        <w:tc>
          <w:tcPr>
            <w:tcW w:w="1399"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Exemplaire existe dans Horizon ?</w:t>
            </w:r>
          </w:p>
        </w:tc>
        <w:tc>
          <w:tcPr>
            <w:tcW w:w="1167"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930/955 existe dans Horizon ?</w:t>
            </w:r>
          </w:p>
        </w:tc>
        <w:tc>
          <w:tcPr>
            <w:tcW w:w="1429"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Le code de collection correspond au RCR ?</w:t>
            </w:r>
          </w:p>
        </w:tc>
        <w:tc>
          <w:tcPr>
            <w:tcW w:w="2119" w:type="dxa"/>
            <w:hideMark/>
          </w:tcPr>
          <w:p w:rsidR="00900091" w:rsidRPr="00900091" w:rsidRDefault="00900091" w:rsidP="00AB578C">
            <w:pPr>
              <w:cnfStyle w:val="100000000000" w:firstRow="1" w:lastRow="0" w:firstColumn="0" w:lastColumn="0" w:oddVBand="0" w:evenVBand="0" w:oddHBand="0" w:evenHBand="0" w:firstRowFirstColumn="0" w:firstRowLastColumn="0" w:lastRowFirstColumn="0" w:lastRowLastColumn="0"/>
            </w:pPr>
            <w:r w:rsidRPr="00900091">
              <w:t>Traitement automatique envisageable</w:t>
            </w:r>
          </w:p>
        </w:tc>
      </w:tr>
      <w:tr w:rsidR="00770C71" w:rsidRPr="00900091" w:rsidTr="00BE1EF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B</w:t>
            </w:r>
          </w:p>
        </w:tc>
        <w:tc>
          <w:tcPr>
            <w:tcW w:w="2488"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Notices absentes de horizon (B)</w:t>
            </w:r>
          </w:p>
        </w:tc>
        <w:tc>
          <w:tcPr>
            <w:tcW w:w="2993"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Le PPN n'existe pas dans Horizon</w:t>
            </w:r>
          </w:p>
        </w:tc>
        <w:tc>
          <w:tcPr>
            <w:tcW w:w="1483"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39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167"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42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NA</w:t>
            </w:r>
            <w:r w:rsidR="001F2B2B">
              <w:t xml:space="preserve"> (non applicable)</w:t>
            </w:r>
          </w:p>
        </w:tc>
        <w:tc>
          <w:tcPr>
            <w:tcW w:w="2119"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 xml:space="preserve">Demande de suppression des localisations dans Winibw </w:t>
            </w:r>
          </w:p>
        </w:tc>
      </w:tr>
      <w:tr w:rsidR="00770C71" w:rsidRPr="00900091" w:rsidTr="00BE1EFF">
        <w:trPr>
          <w:trHeight w:val="6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C</w:t>
            </w:r>
          </w:p>
        </w:tc>
        <w:tc>
          <w:tcPr>
            <w:tcW w:w="2488"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Notices doublon dans horizon (C)</w:t>
            </w:r>
          </w:p>
        </w:tc>
        <w:tc>
          <w:tcPr>
            <w:tcW w:w="2993"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Plusieurs notices exite dans Horizon avec le même PPN</w:t>
            </w:r>
          </w:p>
        </w:tc>
        <w:tc>
          <w:tcPr>
            <w:tcW w:w="1483"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42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r>
      <w:tr w:rsidR="00900091" w:rsidRPr="00900091" w:rsidTr="00BE1EFF">
        <w:trPr>
          <w:cnfStyle w:val="000000100000" w:firstRow="0" w:lastRow="0" w:firstColumn="0" w:lastColumn="0" w:oddVBand="0" w:evenVBand="0" w:oddHBand="1" w:evenHBand="0" w:firstRowFirstColumn="0" w:firstRowLastColumn="0" w:lastRowFirstColumn="0" w:lastRowLastColumn="0"/>
          <w:trHeight w:val="3658"/>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D</w:t>
            </w:r>
          </w:p>
        </w:tc>
        <w:tc>
          <w:tcPr>
            <w:tcW w:w="2488"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La bibliothèque est localisée dans le SUDOC mais ne possède aucun exemplaire ni localisation (930/955) sous la notice dans Horizon (D)</w:t>
            </w:r>
          </w:p>
        </w:tc>
        <w:tc>
          <w:tcPr>
            <w:tcW w:w="2993" w:type="dxa"/>
            <w:vMerge w:val="restart"/>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 xml:space="preserve">La notice ne comportant pas d'exemplaire il y a de fortes probabilités pour que l'anomalie soit liée  à une opération de </w:t>
            </w:r>
            <w:r w:rsidR="001F2B2B" w:rsidRPr="00900091">
              <w:t>délocalisation</w:t>
            </w:r>
            <w:r w:rsidRPr="00900091">
              <w:t xml:space="preserve"> incomplète : L'exemplaire a été supprimé de Horizon mais la délocalisation dans le SUDOC n'a pas été effectuée</w:t>
            </w:r>
          </w:p>
        </w:tc>
        <w:tc>
          <w:tcPr>
            <w:tcW w:w="1483"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167"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42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Délocalisation dans le SUDOC et suppression de la notice dans Horizon si aucun exemplaire n'a été</w:t>
            </w:r>
            <w:r w:rsidR="001F2B2B">
              <w:t xml:space="preserve"> </w:t>
            </w:r>
            <w:r w:rsidR="001F2B2B" w:rsidRPr="00ED2E78">
              <w:t>repéré</w:t>
            </w:r>
          </w:p>
        </w:tc>
      </w:tr>
      <w:tr w:rsidR="00900091" w:rsidRPr="00900091" w:rsidTr="00BE1EFF">
        <w:trPr>
          <w:trHeight w:val="12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E</w:t>
            </w:r>
          </w:p>
        </w:tc>
        <w:tc>
          <w:tcPr>
            <w:tcW w:w="2488"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 xml:space="preserve">La bibliothèque est localisée dans le SUDOC. Elle comporte une localisation (930/955) sous la </w:t>
            </w:r>
            <w:r w:rsidRPr="00900091">
              <w:lastRenderedPageBreak/>
              <w:t>notice dans horizon mais ne possède aucun Exemplaire sous la notice dans Horizon (E)</w:t>
            </w:r>
          </w:p>
        </w:tc>
        <w:tc>
          <w:tcPr>
            <w:tcW w:w="2993" w:type="dxa"/>
            <w:vMerge/>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p>
        </w:tc>
        <w:tc>
          <w:tcPr>
            <w:tcW w:w="1483"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167"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42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 xml:space="preserve">Délocalisation dans le SUDOC et suppression de la notice dans Horizon si aucun </w:t>
            </w:r>
            <w:r w:rsidRPr="00900091">
              <w:lastRenderedPageBreak/>
              <w:t xml:space="preserve">exemplaire n'a été </w:t>
            </w:r>
            <w:r w:rsidR="001F2B2B" w:rsidRPr="00ED2E78">
              <w:t>repéré</w:t>
            </w:r>
          </w:p>
        </w:tc>
      </w:tr>
      <w:tr w:rsidR="00770C71" w:rsidRPr="00900091" w:rsidTr="00BE1EF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lastRenderedPageBreak/>
              <w:t>Onglet F</w:t>
            </w:r>
          </w:p>
        </w:tc>
        <w:tc>
          <w:tcPr>
            <w:tcW w:w="2488"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La bibliothèque est localisée dans le SUDOC. Elle possède un exemplaire lié à la notice dans Horizon mais ne possède aucune localisation (930/955</w:t>
            </w:r>
            <w:r w:rsidR="005752A9" w:rsidRPr="00900091">
              <w:t>) sous</w:t>
            </w:r>
            <w:r w:rsidRPr="00900091">
              <w:t xml:space="preserve"> la notice dans Horizon (F)</w:t>
            </w:r>
          </w:p>
        </w:tc>
        <w:tc>
          <w:tcPr>
            <w:tcW w:w="2993"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Il semblerait que dans certains cas les 930 ne sont pas mises à jour. Ceci ne constitue pas une grosse anomalie et il n'est pas nécessaire de corriger ces cas.</w:t>
            </w:r>
          </w:p>
        </w:tc>
        <w:tc>
          <w:tcPr>
            <w:tcW w:w="1483"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42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Demande à l'ABES la redescente des notices.</w:t>
            </w:r>
          </w:p>
        </w:tc>
      </w:tr>
      <w:tr w:rsidR="00770C71" w:rsidRPr="00900091" w:rsidTr="00BE1EFF">
        <w:trPr>
          <w:trHeight w:val="12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G</w:t>
            </w:r>
          </w:p>
        </w:tc>
        <w:tc>
          <w:tcPr>
            <w:tcW w:w="2488"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La bibliothèque n'est pas localisée dans le SUDOC. Elle possède un exemplaire lié à la notice dans Horizon mais ne possède aucune localisation (930/955</w:t>
            </w:r>
            <w:r w:rsidR="005752A9" w:rsidRPr="00900091">
              <w:t>) sous</w:t>
            </w:r>
            <w:r w:rsidRPr="00900091">
              <w:t xml:space="preserve"> la notice dans Horizon (G)</w:t>
            </w:r>
          </w:p>
        </w:tc>
        <w:tc>
          <w:tcPr>
            <w:tcW w:w="2993"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 xml:space="preserve">La localisation dans le SUDOC n'a pas été effectuée. </w:t>
            </w:r>
          </w:p>
        </w:tc>
        <w:tc>
          <w:tcPr>
            <w:tcW w:w="1483"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128"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42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Demande d'exemplarisation automatique si plus de 100 notices sont concernées.</w:t>
            </w:r>
          </w:p>
        </w:tc>
      </w:tr>
      <w:tr w:rsidR="00770C71" w:rsidRPr="00900091" w:rsidTr="00BE1EF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lastRenderedPageBreak/>
              <w:t>Onglet H</w:t>
            </w:r>
          </w:p>
        </w:tc>
        <w:tc>
          <w:tcPr>
            <w:tcW w:w="2488"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La bibliothèque n'est pas localisée dans le SUDOC. Elle possède un exemplaire lié à la notice dans Horizon et une localisation (930/955) (H)</w:t>
            </w:r>
          </w:p>
        </w:tc>
        <w:tc>
          <w:tcPr>
            <w:tcW w:w="2993"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Il semble qu'une localisation SUDOC ait existé. Possible cas d'un désherbage mal exécuté.</w:t>
            </w:r>
          </w:p>
        </w:tc>
        <w:tc>
          <w:tcPr>
            <w:tcW w:w="1483"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128"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42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Demande d'exemplarisation automatique si plus de</w:t>
            </w:r>
            <w:r w:rsidR="00770C71">
              <w:t xml:space="preserve"> 100 notices sont concernées ou</w:t>
            </w:r>
            <w:r w:rsidRPr="00900091">
              <w:t xml:space="preserve"> suppression des exemplaires.</w:t>
            </w:r>
          </w:p>
        </w:tc>
      </w:tr>
      <w:tr w:rsidR="00770C71" w:rsidRPr="00900091" w:rsidTr="00BE1EFF">
        <w:trPr>
          <w:trHeight w:val="12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I</w:t>
            </w:r>
          </w:p>
        </w:tc>
        <w:tc>
          <w:tcPr>
            <w:tcW w:w="2488"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La bibliothèque n'est pas localisée dans le SUDOC. Elle possède une localisation (930/955) mais aucun exemplaire n'est lié à la notice dans Horizon (I)</w:t>
            </w:r>
          </w:p>
        </w:tc>
        <w:tc>
          <w:tcPr>
            <w:tcW w:w="2993"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Il semble qu'une localisation SUDOC ait existé. Possible cas d'un désherbage mal exécuté.</w:t>
            </w:r>
          </w:p>
        </w:tc>
        <w:tc>
          <w:tcPr>
            <w:tcW w:w="1483"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128"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167"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42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NA</w:t>
            </w:r>
          </w:p>
        </w:tc>
        <w:tc>
          <w:tcPr>
            <w:tcW w:w="2119"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Suppression de la 930/955 et suppression  de la notice si aucune autre bibliothèque du réseau</w:t>
            </w:r>
            <w:r w:rsidR="00770C71">
              <w:t xml:space="preserve"> </w:t>
            </w:r>
            <w:r w:rsidRPr="00900091">
              <w:t xml:space="preserve">n'est </w:t>
            </w:r>
            <w:r w:rsidR="00BE1EFF" w:rsidRPr="00900091">
              <w:t>localisée</w:t>
            </w:r>
            <w:r w:rsidRPr="00900091">
              <w:t>.</w:t>
            </w:r>
          </w:p>
        </w:tc>
      </w:tr>
      <w:tr w:rsidR="00770C71" w:rsidRPr="00900091" w:rsidTr="00BE1EF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J</w:t>
            </w:r>
          </w:p>
        </w:tc>
        <w:tc>
          <w:tcPr>
            <w:tcW w:w="2488"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 xml:space="preserve">La bibliothèque est localisée dans le SUDOC. Elle possède une localisation (930/955), un exemplaire à la division dans Horizon mais la collection de cet exemplaire </w:t>
            </w:r>
            <w:r w:rsidRPr="00900091">
              <w:lastRenderedPageBreak/>
              <w:t>n'appartient pas au RCR(J)</w:t>
            </w:r>
          </w:p>
        </w:tc>
        <w:tc>
          <w:tcPr>
            <w:tcW w:w="2993"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lastRenderedPageBreak/>
              <w:t>Cas des bibliothèques ayant plusieurs RCR pour un seul code de division.</w:t>
            </w:r>
          </w:p>
        </w:tc>
        <w:tc>
          <w:tcPr>
            <w:tcW w:w="1483"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42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2119"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 xml:space="preserve">Dans le </w:t>
            </w:r>
            <w:r w:rsidR="00BE1EFF" w:rsidRPr="00900091">
              <w:t>SUDOC,</w:t>
            </w:r>
            <w:r w:rsidRPr="00900091">
              <w:t xml:space="preserve"> transfert des collections d'un RCR vers l'autre ou dans Horizon, transfert des exemplaires d'une collection vers l'autre.</w:t>
            </w:r>
          </w:p>
        </w:tc>
      </w:tr>
      <w:tr w:rsidR="00770C71" w:rsidRPr="00900091" w:rsidTr="00BE1EFF">
        <w:trPr>
          <w:trHeight w:val="15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lastRenderedPageBreak/>
              <w:t>Onglet K</w:t>
            </w:r>
          </w:p>
        </w:tc>
        <w:tc>
          <w:tcPr>
            <w:tcW w:w="2488"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La bibliothèque n'est pas localisée dans le SUDOC. Elle possède une localisation (930/955), un exemplaire à la division dans Horizon mais la collection de cet exemplaire n'appartient pas au RCR(K)</w:t>
            </w:r>
          </w:p>
        </w:tc>
        <w:tc>
          <w:tcPr>
            <w:tcW w:w="2993"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Cas des bibliothèques ayant plusieurs RCR pour un seul code de division.</w:t>
            </w:r>
          </w:p>
        </w:tc>
        <w:tc>
          <w:tcPr>
            <w:tcW w:w="1483"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128"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42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2119"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A analyser avec les établissements concernés si les volumes sont importants.</w:t>
            </w:r>
          </w:p>
        </w:tc>
      </w:tr>
      <w:tr w:rsidR="00770C71" w:rsidRPr="00900091" w:rsidTr="00BE1EF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L</w:t>
            </w:r>
          </w:p>
        </w:tc>
        <w:tc>
          <w:tcPr>
            <w:tcW w:w="2488"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La bibliothèque est localisée dans le SUDOC. Elle possède un exemplaire lié à la notice dans Horizon mais ne possède aucune localisation (930/955)sous la notice dans Horizon. La collection de l'exemplaire n'appartient pas au RCR(L)</w:t>
            </w:r>
          </w:p>
        </w:tc>
        <w:tc>
          <w:tcPr>
            <w:tcW w:w="2993"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Cas des bibliothèques ayant plusieurs RCR pour un seul code de division.</w:t>
            </w:r>
          </w:p>
        </w:tc>
        <w:tc>
          <w:tcPr>
            <w:tcW w:w="1483"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28"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1429" w:type="dxa"/>
            <w:noWrap/>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NON</w:t>
            </w:r>
          </w:p>
        </w:tc>
        <w:tc>
          <w:tcPr>
            <w:tcW w:w="2119" w:type="dxa"/>
            <w:hideMark/>
          </w:tcPr>
          <w:p w:rsidR="00900091" w:rsidRPr="00900091" w:rsidRDefault="00900091" w:rsidP="00AB578C">
            <w:pPr>
              <w:cnfStyle w:val="000000100000" w:firstRow="0" w:lastRow="0" w:firstColumn="0" w:lastColumn="0" w:oddVBand="0" w:evenVBand="0" w:oddHBand="1" w:evenHBand="0" w:firstRowFirstColumn="0" w:firstRowLastColumn="0" w:lastRowFirstColumn="0" w:lastRowLastColumn="0"/>
            </w:pPr>
            <w:r w:rsidRPr="00900091">
              <w:t xml:space="preserve">Dans le </w:t>
            </w:r>
            <w:r w:rsidR="005752A9" w:rsidRPr="00900091">
              <w:t>SUDOC,</w:t>
            </w:r>
            <w:r w:rsidRPr="00900091">
              <w:t xml:space="preserve"> transfert des collections d'un RCR vers l'autre ou dans Horizon, transfert des exemplaires d'une collection vers l'autre.</w:t>
            </w:r>
          </w:p>
        </w:tc>
      </w:tr>
      <w:tr w:rsidR="00770C71" w:rsidRPr="00900091" w:rsidTr="00BE1EFF">
        <w:trPr>
          <w:trHeight w:val="1500"/>
        </w:trPr>
        <w:tc>
          <w:tcPr>
            <w:cnfStyle w:val="001000000000" w:firstRow="0" w:lastRow="0" w:firstColumn="1" w:lastColumn="0" w:oddVBand="0" w:evenVBand="0" w:oddHBand="0" w:evenHBand="0" w:firstRowFirstColumn="0" w:firstRowLastColumn="0" w:lastRowFirstColumn="0" w:lastRowLastColumn="0"/>
            <w:tcW w:w="1220" w:type="dxa"/>
            <w:noWrap/>
            <w:hideMark/>
          </w:tcPr>
          <w:p w:rsidR="00900091" w:rsidRPr="00900091" w:rsidRDefault="00900091" w:rsidP="00AB578C">
            <w:r w:rsidRPr="00900091">
              <w:t>Onglet M</w:t>
            </w:r>
          </w:p>
        </w:tc>
        <w:tc>
          <w:tcPr>
            <w:tcW w:w="2488"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La bibliothèque n'est pas localisée dans le SUDOC. Elle possède un exemplaire lié à la notice dans Horizon mais ne possède aucune localisation (930/955</w:t>
            </w:r>
            <w:r w:rsidR="005752A9" w:rsidRPr="00900091">
              <w:t>) sous</w:t>
            </w:r>
            <w:r w:rsidRPr="00900091">
              <w:t xml:space="preserve"> la notice dans Horizon. La collection de l'exemplaire n'appartient pas au RCR(M)</w:t>
            </w:r>
          </w:p>
        </w:tc>
        <w:tc>
          <w:tcPr>
            <w:tcW w:w="2993"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Cas des bibliothèques ayant plusieurs RCR pour un seul code de division.</w:t>
            </w:r>
          </w:p>
        </w:tc>
        <w:tc>
          <w:tcPr>
            <w:tcW w:w="1483"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128"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39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OUI</w:t>
            </w:r>
          </w:p>
        </w:tc>
        <w:tc>
          <w:tcPr>
            <w:tcW w:w="1167"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1429" w:type="dxa"/>
            <w:noWrap/>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NON</w:t>
            </w:r>
          </w:p>
        </w:tc>
        <w:tc>
          <w:tcPr>
            <w:tcW w:w="2119" w:type="dxa"/>
            <w:hideMark/>
          </w:tcPr>
          <w:p w:rsidR="00900091" w:rsidRPr="00900091" w:rsidRDefault="00900091" w:rsidP="00AB578C">
            <w:pPr>
              <w:cnfStyle w:val="000000000000" w:firstRow="0" w:lastRow="0" w:firstColumn="0" w:lastColumn="0" w:oddVBand="0" w:evenVBand="0" w:oddHBand="0" w:evenHBand="0" w:firstRowFirstColumn="0" w:firstRowLastColumn="0" w:lastRowFirstColumn="0" w:lastRowLastColumn="0"/>
            </w:pPr>
            <w:r w:rsidRPr="00900091">
              <w:t>A analyser avec les établissements concernés si les volumes sont importants.</w:t>
            </w:r>
          </w:p>
        </w:tc>
      </w:tr>
    </w:tbl>
    <w:p w:rsidR="00900091" w:rsidRDefault="00900091" w:rsidP="00AB578C">
      <w:pPr>
        <w:rPr>
          <w:rFonts w:eastAsia="Arial Unicode MS"/>
          <w:u w:color="000000"/>
        </w:rPr>
      </w:pPr>
    </w:p>
    <w:p w:rsidR="00900091" w:rsidRDefault="00900091" w:rsidP="00AB578C">
      <w:pPr>
        <w:rPr>
          <w:rFonts w:eastAsia="Arial Unicode MS"/>
          <w:u w:color="000000"/>
        </w:rPr>
        <w:sectPr w:rsidR="00900091" w:rsidSect="00900091">
          <w:pgSz w:w="16838" w:h="11906" w:orient="landscape" w:code="9"/>
          <w:pgMar w:top="720" w:right="720" w:bottom="720" w:left="720" w:header="573" w:footer="703" w:gutter="0"/>
          <w:cols w:space="708"/>
          <w:titlePg/>
          <w:docGrid w:linePitch="360"/>
        </w:sectPr>
      </w:pPr>
    </w:p>
    <w:p w:rsidR="00900091" w:rsidRPr="005752A9" w:rsidRDefault="00770C71" w:rsidP="00AB578C">
      <w:pPr>
        <w:rPr>
          <w:rFonts w:eastAsia="Arial Unicode MS"/>
          <w:color w:val="FF0000"/>
          <w:u w:color="000000"/>
        </w:rPr>
      </w:pPr>
      <w:r>
        <w:rPr>
          <w:rFonts w:eastAsia="Arial Unicode MS"/>
          <w:u w:color="000000"/>
        </w:rPr>
        <w:t>Le SCOOP peu</w:t>
      </w:r>
      <w:r w:rsidR="00AA1456">
        <w:rPr>
          <w:rFonts w:eastAsia="Arial Unicode MS"/>
          <w:u w:color="000000"/>
        </w:rPr>
        <w:t>t</w:t>
      </w:r>
      <w:r>
        <w:rPr>
          <w:rFonts w:eastAsia="Arial Unicode MS"/>
          <w:u w:color="000000"/>
        </w:rPr>
        <w:t xml:space="preserve"> demander des localisations automatiques à l’ABES pour les bibliothèques suivantes. </w:t>
      </w:r>
      <w:r w:rsidR="005752A9" w:rsidRPr="00ED2E78">
        <w:rPr>
          <w:rFonts w:eastAsia="Arial Unicode MS"/>
          <w:u w:color="000000"/>
        </w:rPr>
        <w:t>Chaque responsable de chantier devra en faire la demande par ticket GLPI</w:t>
      </w:r>
    </w:p>
    <w:p w:rsidR="00770C71" w:rsidRDefault="00770C71" w:rsidP="00AB578C">
      <w:pPr>
        <w:rPr>
          <w:rFonts w:eastAsia="Arial Unicode MS"/>
          <w:u w:color="000000"/>
        </w:rPr>
      </w:pPr>
    </w:p>
    <w:tbl>
      <w:tblPr>
        <w:tblStyle w:val="Grilledutableau"/>
        <w:tblW w:w="0" w:type="auto"/>
        <w:tblLook w:val="04A0" w:firstRow="1" w:lastRow="0" w:firstColumn="1" w:lastColumn="0" w:noHBand="0" w:noVBand="1"/>
      </w:tblPr>
      <w:tblGrid>
        <w:gridCol w:w="2405"/>
        <w:gridCol w:w="1920"/>
        <w:gridCol w:w="3467"/>
        <w:gridCol w:w="1611"/>
        <w:gridCol w:w="1077"/>
      </w:tblGrid>
      <w:tr w:rsidR="00770C71" w:rsidRPr="00770C71" w:rsidTr="005752A9">
        <w:trPr>
          <w:trHeight w:val="300"/>
        </w:trPr>
        <w:tc>
          <w:tcPr>
            <w:tcW w:w="2405" w:type="dxa"/>
            <w:noWrap/>
            <w:hideMark/>
          </w:tcPr>
          <w:p w:rsidR="00770C71" w:rsidRPr="00770C71" w:rsidRDefault="00770C71" w:rsidP="00AB578C">
            <w:pPr>
              <w:rPr>
                <w:rFonts w:eastAsia="Arial Unicode MS"/>
                <w:u w:color="000000"/>
              </w:rPr>
            </w:pPr>
            <w:r w:rsidRPr="00770C71">
              <w:rPr>
                <w:rFonts w:eastAsia="Arial Unicode MS"/>
                <w:u w:color="000000"/>
              </w:rPr>
              <w:t>Univ. de Bordeaux</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DSPEG</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ESPE-CRD PERIGUEUX</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243222203</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781</w:t>
            </w:r>
          </w:p>
        </w:tc>
      </w:tr>
      <w:tr w:rsidR="00770C71" w:rsidRPr="00770C71" w:rsidTr="005752A9">
        <w:trPr>
          <w:trHeight w:val="300"/>
        </w:trPr>
        <w:tc>
          <w:tcPr>
            <w:tcW w:w="2405" w:type="dxa"/>
            <w:noWrap/>
            <w:hideMark/>
          </w:tcPr>
          <w:p w:rsidR="00770C71" w:rsidRPr="00770C71" w:rsidRDefault="00770C71" w:rsidP="00AB578C">
            <w:pPr>
              <w:rPr>
                <w:rFonts w:eastAsia="Arial Unicode MS"/>
                <w:u w:color="000000"/>
              </w:rPr>
            </w:pPr>
            <w:r w:rsidRPr="00770C71">
              <w:rPr>
                <w:rFonts w:eastAsia="Arial Unicode MS"/>
                <w:u w:color="000000"/>
              </w:rPr>
              <w:t>Univ. de Bordeaux</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DSPEG</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ESPE-CRD AGEN</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470012202</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297</w:t>
            </w:r>
          </w:p>
        </w:tc>
      </w:tr>
      <w:tr w:rsidR="00770C71" w:rsidRPr="00770C71" w:rsidTr="005752A9">
        <w:trPr>
          <w:trHeight w:val="300"/>
        </w:trPr>
        <w:tc>
          <w:tcPr>
            <w:tcW w:w="2405" w:type="dxa"/>
            <w:noWrap/>
            <w:hideMark/>
          </w:tcPr>
          <w:p w:rsidR="00770C71" w:rsidRPr="00770C71" w:rsidRDefault="00770C71" w:rsidP="00AB578C">
            <w:pPr>
              <w:rPr>
                <w:rFonts w:eastAsia="Arial Unicode MS"/>
                <w:u w:color="000000"/>
              </w:rPr>
            </w:pPr>
            <w:r w:rsidRPr="00770C71">
              <w:rPr>
                <w:rFonts w:eastAsia="Arial Unicode MS"/>
                <w:u w:color="000000"/>
              </w:rPr>
              <w:t>Univ. de Bordeaux</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DSPEG</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DSPEG-BIB. CENTRES DE RECHERCHE ECONOMIE</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333182201</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316</w:t>
            </w:r>
          </w:p>
        </w:tc>
      </w:tr>
      <w:tr w:rsidR="00770C71" w:rsidRPr="00770C71" w:rsidTr="005752A9">
        <w:trPr>
          <w:trHeight w:val="300"/>
        </w:trPr>
        <w:tc>
          <w:tcPr>
            <w:tcW w:w="2405" w:type="dxa"/>
            <w:noWrap/>
            <w:hideMark/>
          </w:tcPr>
          <w:p w:rsidR="00770C71" w:rsidRPr="00770C71" w:rsidRDefault="00770C71" w:rsidP="00AB578C">
            <w:pPr>
              <w:rPr>
                <w:rFonts w:eastAsia="Arial Unicode MS"/>
                <w:u w:color="000000"/>
              </w:rPr>
            </w:pPr>
            <w:r w:rsidRPr="00770C71">
              <w:rPr>
                <w:rFonts w:eastAsia="Arial Unicode MS"/>
                <w:u w:color="000000"/>
              </w:rPr>
              <w:t>Univ. de Bordeaux</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DSPEG</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DSPEG-BIB. HISTOIRE DU DROIT</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333182208</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578</w:t>
            </w:r>
          </w:p>
        </w:tc>
      </w:tr>
      <w:tr w:rsidR="00770C71" w:rsidRPr="00770C71" w:rsidTr="005752A9">
        <w:trPr>
          <w:trHeight w:val="300"/>
        </w:trPr>
        <w:tc>
          <w:tcPr>
            <w:tcW w:w="2405" w:type="dxa"/>
            <w:noWrap/>
            <w:hideMark/>
          </w:tcPr>
          <w:p w:rsidR="00770C71" w:rsidRPr="00770C71" w:rsidRDefault="00770C71" w:rsidP="005752A9">
            <w:pPr>
              <w:rPr>
                <w:rFonts w:eastAsia="Arial Unicode MS"/>
                <w:u w:color="000000"/>
              </w:rPr>
            </w:pPr>
            <w:r w:rsidRPr="00770C71">
              <w:rPr>
                <w:rFonts w:eastAsia="Arial Unicode MS"/>
                <w:u w:color="000000"/>
              </w:rPr>
              <w:t>Univ.</w:t>
            </w:r>
            <w:r w:rsidR="005752A9">
              <w:rPr>
                <w:rFonts w:eastAsia="Arial Unicode MS"/>
                <w:u w:color="000000"/>
              </w:rPr>
              <w:t xml:space="preserve"> </w:t>
            </w:r>
            <w:r w:rsidRPr="00770C71">
              <w:rPr>
                <w:rFonts w:eastAsia="Arial Unicode MS"/>
                <w:u w:color="000000"/>
              </w:rPr>
              <w:t>Bordeaux Montaigne</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Bdx Montaigne</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BU LETTRES</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335222103</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227</w:t>
            </w:r>
          </w:p>
        </w:tc>
      </w:tr>
      <w:tr w:rsidR="00770C71" w:rsidRPr="00770C71" w:rsidTr="005752A9">
        <w:trPr>
          <w:trHeight w:val="300"/>
        </w:trPr>
        <w:tc>
          <w:tcPr>
            <w:tcW w:w="2405" w:type="dxa"/>
            <w:noWrap/>
            <w:hideMark/>
          </w:tcPr>
          <w:p w:rsidR="00770C71" w:rsidRPr="00770C71" w:rsidRDefault="00770C71" w:rsidP="00AB578C">
            <w:pPr>
              <w:rPr>
                <w:rFonts w:eastAsia="Arial Unicode MS"/>
                <w:u w:color="000000"/>
              </w:rPr>
            </w:pPr>
            <w:r w:rsidRPr="00770C71">
              <w:rPr>
                <w:rFonts w:eastAsia="Arial Unicode MS"/>
                <w:u w:color="000000"/>
              </w:rPr>
              <w:t>IEP</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IEP</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BIB. IEP</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335222203</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296</w:t>
            </w:r>
          </w:p>
        </w:tc>
      </w:tr>
      <w:tr w:rsidR="00770C71" w:rsidRPr="00770C71" w:rsidTr="005752A9">
        <w:trPr>
          <w:trHeight w:val="300"/>
        </w:trPr>
        <w:tc>
          <w:tcPr>
            <w:tcW w:w="2405" w:type="dxa"/>
            <w:noWrap/>
            <w:hideMark/>
          </w:tcPr>
          <w:p w:rsidR="00770C71" w:rsidRPr="00770C71" w:rsidRDefault="00770C71" w:rsidP="00AB578C">
            <w:pPr>
              <w:rPr>
                <w:rFonts w:eastAsia="Arial Unicode MS"/>
                <w:u w:color="000000"/>
              </w:rPr>
            </w:pPr>
            <w:r w:rsidRPr="00770C71">
              <w:rPr>
                <w:rFonts w:eastAsia="Arial Unicode MS"/>
                <w:u w:color="000000"/>
              </w:rPr>
              <w:t>IEP</w:t>
            </w:r>
          </w:p>
        </w:tc>
        <w:tc>
          <w:tcPr>
            <w:tcW w:w="1920" w:type="dxa"/>
            <w:noWrap/>
            <w:hideMark/>
          </w:tcPr>
          <w:p w:rsidR="00770C71" w:rsidRPr="00770C71" w:rsidRDefault="00770C71" w:rsidP="00AB578C">
            <w:pPr>
              <w:rPr>
                <w:rFonts w:eastAsia="Arial Unicode MS"/>
                <w:u w:color="000000"/>
              </w:rPr>
            </w:pPr>
            <w:r w:rsidRPr="00770C71">
              <w:rPr>
                <w:rFonts w:eastAsia="Arial Unicode MS"/>
                <w:u w:color="000000"/>
              </w:rPr>
              <w:t>IEP</w:t>
            </w:r>
          </w:p>
        </w:tc>
        <w:tc>
          <w:tcPr>
            <w:tcW w:w="3467" w:type="dxa"/>
            <w:noWrap/>
            <w:hideMark/>
          </w:tcPr>
          <w:p w:rsidR="00770C71" w:rsidRPr="00770C71" w:rsidRDefault="00770C71" w:rsidP="00AB578C">
            <w:pPr>
              <w:rPr>
                <w:rFonts w:eastAsia="Arial Unicode MS"/>
                <w:u w:color="000000"/>
              </w:rPr>
            </w:pPr>
            <w:r w:rsidRPr="00770C71">
              <w:rPr>
                <w:rFonts w:eastAsia="Arial Unicode MS"/>
                <w:u w:color="000000"/>
              </w:rPr>
              <w:t>Bib. Centre E Durkheim</w:t>
            </w:r>
          </w:p>
        </w:tc>
        <w:tc>
          <w:tcPr>
            <w:tcW w:w="1611" w:type="dxa"/>
            <w:noWrap/>
            <w:hideMark/>
          </w:tcPr>
          <w:p w:rsidR="00770C71" w:rsidRPr="00770C71" w:rsidRDefault="00770C71" w:rsidP="00AB578C">
            <w:pPr>
              <w:rPr>
                <w:rFonts w:eastAsia="Arial Unicode MS"/>
                <w:u w:color="000000"/>
              </w:rPr>
            </w:pPr>
            <w:r w:rsidRPr="00770C71">
              <w:rPr>
                <w:rFonts w:eastAsia="Arial Unicode MS"/>
                <w:u w:color="000000"/>
              </w:rPr>
              <w:t>335222218</w:t>
            </w:r>
          </w:p>
        </w:tc>
        <w:tc>
          <w:tcPr>
            <w:tcW w:w="1077" w:type="dxa"/>
            <w:noWrap/>
            <w:hideMark/>
          </w:tcPr>
          <w:p w:rsidR="00770C71" w:rsidRPr="00770C71" w:rsidRDefault="00770C71" w:rsidP="00AB578C">
            <w:pPr>
              <w:rPr>
                <w:rFonts w:eastAsia="Arial Unicode MS"/>
                <w:u w:color="000000"/>
              </w:rPr>
            </w:pPr>
            <w:r w:rsidRPr="00770C71">
              <w:rPr>
                <w:rFonts w:eastAsia="Arial Unicode MS"/>
                <w:u w:color="000000"/>
              </w:rPr>
              <w:t>171</w:t>
            </w:r>
          </w:p>
        </w:tc>
      </w:tr>
    </w:tbl>
    <w:p w:rsidR="00435ACB" w:rsidRDefault="00435ACB" w:rsidP="00AB578C">
      <w:pPr>
        <w:rPr>
          <w:rFonts w:eastAsia="Arial Unicode MS"/>
          <w:u w:color="000000"/>
        </w:rPr>
      </w:pPr>
    </w:p>
    <w:p w:rsidR="00770C71" w:rsidRDefault="00AA1456" w:rsidP="00AB578C">
      <w:pPr>
        <w:pStyle w:val="Ubx-titreniveau2"/>
      </w:pPr>
      <w:r>
        <w:t>Anomalies sur les RCR électroniques</w:t>
      </w:r>
    </w:p>
    <w:p w:rsidR="00AA1456" w:rsidRDefault="00AA1456" w:rsidP="00AB578C">
      <w:r>
        <w:t>Lors des précédentes campagnes ces RCR n’avaient pas été traités</w:t>
      </w:r>
      <w:r w:rsidR="0037140F">
        <w:t xml:space="preserve"> ; Cette </w:t>
      </w:r>
      <w:r w:rsidR="005752A9">
        <w:t>a</w:t>
      </w:r>
      <w:r w:rsidR="0037140F">
        <w:t xml:space="preserve">nalyse a permis de remonter notamment des cas de notices </w:t>
      </w:r>
      <w:r>
        <w:t xml:space="preserve"> </w:t>
      </w:r>
      <w:r w:rsidR="0037140F">
        <w:t>électroniques avec exemplaires.</w:t>
      </w:r>
    </w:p>
    <w:tbl>
      <w:tblPr>
        <w:tblStyle w:val="TableauGrille5Fonc-Accentuation2"/>
        <w:tblW w:w="9634" w:type="dxa"/>
        <w:tblLook w:val="04A0" w:firstRow="1" w:lastRow="0" w:firstColumn="1" w:lastColumn="0" w:noHBand="0" w:noVBand="1"/>
      </w:tblPr>
      <w:tblGrid>
        <w:gridCol w:w="4390"/>
        <w:gridCol w:w="1701"/>
        <w:gridCol w:w="1842"/>
        <w:gridCol w:w="1701"/>
      </w:tblGrid>
      <w:tr w:rsidR="0037140F" w:rsidRPr="00AA1456" w:rsidTr="0037140F">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4390" w:type="dxa"/>
            <w:hideMark/>
          </w:tcPr>
          <w:p w:rsidR="00AA1456" w:rsidRPr="00AA1456" w:rsidRDefault="00AA1456" w:rsidP="00AB578C">
            <w:r w:rsidRPr="00AA1456">
              <w:t>Bibliothèques</w:t>
            </w:r>
          </w:p>
        </w:tc>
        <w:tc>
          <w:tcPr>
            <w:tcW w:w="1701" w:type="dxa"/>
            <w:hideMark/>
          </w:tcPr>
          <w:p w:rsidR="00AA1456" w:rsidRPr="00AA1456" w:rsidRDefault="00AA1456" w:rsidP="00AB578C">
            <w:pPr>
              <w:cnfStyle w:val="100000000000" w:firstRow="1" w:lastRow="0" w:firstColumn="0" w:lastColumn="0" w:oddVBand="0" w:evenVBand="0" w:oddHBand="0" w:evenHBand="0" w:firstRowFirstColumn="0" w:firstRowLastColumn="0" w:lastRowFirstColumn="0" w:lastRowLastColumn="0"/>
            </w:pPr>
            <w:r w:rsidRPr="00AA1456">
              <w:t>Notices absentes de horizon (B) pour le RCR analysé</w:t>
            </w:r>
          </w:p>
        </w:tc>
        <w:tc>
          <w:tcPr>
            <w:tcW w:w="1842" w:type="dxa"/>
            <w:hideMark/>
          </w:tcPr>
          <w:p w:rsidR="00AA1456" w:rsidRPr="00AA1456" w:rsidRDefault="00AA1456" w:rsidP="00AB578C">
            <w:pPr>
              <w:cnfStyle w:val="100000000000" w:firstRow="1" w:lastRow="0" w:firstColumn="0" w:lastColumn="0" w:oddVBand="0" w:evenVBand="0" w:oddHBand="0" w:evenHBand="0" w:firstRowFirstColumn="0" w:firstRowLastColumn="0" w:lastRowFirstColumn="0" w:lastRowLastColumn="0"/>
            </w:pPr>
            <w:r w:rsidRPr="00AA1456">
              <w:t>Notices électroniques présentes dans Horizon avec un exemplaire</w:t>
            </w:r>
          </w:p>
        </w:tc>
        <w:tc>
          <w:tcPr>
            <w:tcW w:w="1701" w:type="dxa"/>
            <w:hideMark/>
          </w:tcPr>
          <w:p w:rsidR="00AA1456" w:rsidRPr="00AA1456" w:rsidRDefault="00AA1456" w:rsidP="00AB578C">
            <w:pPr>
              <w:cnfStyle w:val="100000000000" w:firstRow="1" w:lastRow="0" w:firstColumn="0" w:lastColumn="0" w:oddVBand="0" w:evenVBand="0" w:oddHBand="0" w:evenHBand="0" w:firstRowFirstColumn="0" w:firstRowLastColumn="0" w:lastRowFirstColumn="0" w:lastRowLastColumn="0"/>
            </w:pPr>
            <w:r w:rsidRPr="00AA1456">
              <w:t>Notice présente dans Horizon mais absente du SUDOC</w:t>
            </w:r>
          </w:p>
        </w:tc>
      </w:tr>
      <w:tr w:rsidR="0037140F" w:rsidRPr="00AA1456" w:rsidTr="003714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90" w:type="dxa"/>
            <w:noWrap/>
            <w:hideMark/>
          </w:tcPr>
          <w:p w:rsidR="00AA1456" w:rsidRPr="00AA1456" w:rsidRDefault="00AA1456" w:rsidP="00AB578C">
            <w:r w:rsidRPr="00AA1456">
              <w:t>IEP-BORDEAUX BIBLIOTHEQUE ELECTRONIQUE</w:t>
            </w:r>
          </w:p>
        </w:tc>
        <w:tc>
          <w:tcPr>
            <w:tcW w:w="1701" w:type="dxa"/>
            <w:hideMark/>
          </w:tcPr>
          <w:p w:rsidR="00AA1456" w:rsidRPr="00AA1456" w:rsidRDefault="00AA1456" w:rsidP="00AB578C">
            <w:pPr>
              <w:cnfStyle w:val="000000100000" w:firstRow="0" w:lastRow="0" w:firstColumn="0" w:lastColumn="0" w:oddVBand="0" w:evenVBand="0" w:oddHBand="1" w:evenHBand="0" w:firstRowFirstColumn="0" w:firstRowLastColumn="0" w:lastRowFirstColumn="0" w:lastRowLastColumn="0"/>
            </w:pPr>
            <w:r w:rsidRPr="00AA1456">
              <w:t>0</w:t>
            </w:r>
          </w:p>
        </w:tc>
        <w:tc>
          <w:tcPr>
            <w:tcW w:w="1842" w:type="dxa"/>
            <w:hideMark/>
          </w:tcPr>
          <w:p w:rsidR="00AA1456" w:rsidRPr="00AA1456" w:rsidRDefault="00AA1456" w:rsidP="00AB578C">
            <w:pPr>
              <w:cnfStyle w:val="000000100000" w:firstRow="0" w:lastRow="0" w:firstColumn="0" w:lastColumn="0" w:oddVBand="0" w:evenVBand="0" w:oddHBand="1" w:evenHBand="0" w:firstRowFirstColumn="0" w:firstRowLastColumn="0" w:lastRowFirstColumn="0" w:lastRowLastColumn="0"/>
            </w:pPr>
            <w:r w:rsidRPr="00AA1456">
              <w:t>0</w:t>
            </w:r>
          </w:p>
        </w:tc>
        <w:tc>
          <w:tcPr>
            <w:tcW w:w="1701" w:type="dxa"/>
            <w:hideMark/>
          </w:tcPr>
          <w:p w:rsidR="00AA1456" w:rsidRPr="00AA1456" w:rsidRDefault="00AA1456" w:rsidP="00AB578C">
            <w:pPr>
              <w:cnfStyle w:val="000000100000" w:firstRow="0" w:lastRow="0" w:firstColumn="0" w:lastColumn="0" w:oddVBand="0" w:evenVBand="0" w:oddHBand="1" w:evenHBand="0" w:firstRowFirstColumn="0" w:firstRowLastColumn="0" w:lastRowFirstColumn="0" w:lastRowLastColumn="0"/>
            </w:pPr>
            <w:r w:rsidRPr="00AA1456">
              <w:t>3</w:t>
            </w:r>
          </w:p>
        </w:tc>
      </w:tr>
      <w:tr w:rsidR="00AA1456" w:rsidRPr="00AA1456" w:rsidTr="0037140F">
        <w:trPr>
          <w:trHeight w:val="315"/>
        </w:trPr>
        <w:tc>
          <w:tcPr>
            <w:cnfStyle w:val="001000000000" w:firstRow="0" w:lastRow="0" w:firstColumn="1" w:lastColumn="0" w:oddVBand="0" w:evenVBand="0" w:oddHBand="0" w:evenHBand="0" w:firstRowFirstColumn="0" w:firstRowLastColumn="0" w:lastRowFirstColumn="0" w:lastRowLastColumn="0"/>
            <w:tcW w:w="4390" w:type="dxa"/>
            <w:noWrap/>
            <w:hideMark/>
          </w:tcPr>
          <w:p w:rsidR="00AA1456" w:rsidRPr="00AA1456" w:rsidRDefault="00AA1456" w:rsidP="00AB578C">
            <w:r w:rsidRPr="00AA1456">
              <w:t>INP BIBLIOTHEQUE ELECTRONIQUE</w:t>
            </w:r>
          </w:p>
        </w:tc>
        <w:tc>
          <w:tcPr>
            <w:tcW w:w="1701" w:type="dxa"/>
            <w:hideMark/>
          </w:tcPr>
          <w:p w:rsidR="00AA1456" w:rsidRPr="00AA1456" w:rsidRDefault="00AA1456" w:rsidP="00AB578C">
            <w:pPr>
              <w:cnfStyle w:val="000000000000" w:firstRow="0" w:lastRow="0" w:firstColumn="0" w:lastColumn="0" w:oddVBand="0" w:evenVBand="0" w:oddHBand="0" w:evenHBand="0" w:firstRowFirstColumn="0" w:firstRowLastColumn="0" w:lastRowFirstColumn="0" w:lastRowLastColumn="0"/>
            </w:pPr>
            <w:r w:rsidRPr="00AA1456">
              <w:t>0</w:t>
            </w:r>
          </w:p>
        </w:tc>
        <w:tc>
          <w:tcPr>
            <w:tcW w:w="1842" w:type="dxa"/>
            <w:hideMark/>
          </w:tcPr>
          <w:p w:rsidR="00AA1456" w:rsidRPr="00AA1456" w:rsidRDefault="00AA1456" w:rsidP="00AB578C">
            <w:pPr>
              <w:cnfStyle w:val="000000000000" w:firstRow="0" w:lastRow="0" w:firstColumn="0" w:lastColumn="0" w:oddVBand="0" w:evenVBand="0" w:oddHBand="0" w:evenHBand="0" w:firstRowFirstColumn="0" w:firstRowLastColumn="0" w:lastRowFirstColumn="0" w:lastRowLastColumn="0"/>
            </w:pPr>
            <w:r w:rsidRPr="00AA1456">
              <w:t>0</w:t>
            </w:r>
          </w:p>
        </w:tc>
        <w:tc>
          <w:tcPr>
            <w:tcW w:w="1701" w:type="dxa"/>
            <w:hideMark/>
          </w:tcPr>
          <w:p w:rsidR="00AA1456" w:rsidRPr="00AA1456" w:rsidRDefault="00AA1456" w:rsidP="00AB578C">
            <w:pPr>
              <w:cnfStyle w:val="000000000000" w:firstRow="0" w:lastRow="0" w:firstColumn="0" w:lastColumn="0" w:oddVBand="0" w:evenVBand="0" w:oddHBand="0" w:evenHBand="0" w:firstRowFirstColumn="0" w:firstRowLastColumn="0" w:lastRowFirstColumn="0" w:lastRowLastColumn="0"/>
            </w:pPr>
            <w:r w:rsidRPr="00AA1456">
              <w:t>4</w:t>
            </w:r>
          </w:p>
        </w:tc>
      </w:tr>
      <w:tr w:rsidR="0037140F" w:rsidRPr="00AA1456" w:rsidTr="003714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90" w:type="dxa"/>
            <w:noWrap/>
            <w:hideMark/>
          </w:tcPr>
          <w:p w:rsidR="00AA1456" w:rsidRPr="00AA1456" w:rsidRDefault="00AA1456" w:rsidP="00AB578C">
            <w:r w:rsidRPr="00AA1456">
              <w:t>UBM - BIBLIOTHEQUE ELECTRONIQUE</w:t>
            </w:r>
          </w:p>
        </w:tc>
        <w:tc>
          <w:tcPr>
            <w:tcW w:w="1701" w:type="dxa"/>
            <w:hideMark/>
          </w:tcPr>
          <w:p w:rsidR="00AA1456" w:rsidRPr="00AA1456" w:rsidRDefault="00AA1456" w:rsidP="00AB578C">
            <w:pPr>
              <w:cnfStyle w:val="000000100000" w:firstRow="0" w:lastRow="0" w:firstColumn="0" w:lastColumn="0" w:oddVBand="0" w:evenVBand="0" w:oddHBand="1" w:evenHBand="0" w:firstRowFirstColumn="0" w:firstRowLastColumn="0" w:lastRowFirstColumn="0" w:lastRowLastColumn="0"/>
            </w:pPr>
            <w:r w:rsidRPr="00AA1456">
              <w:t>2</w:t>
            </w:r>
          </w:p>
        </w:tc>
        <w:tc>
          <w:tcPr>
            <w:tcW w:w="1842" w:type="dxa"/>
            <w:hideMark/>
          </w:tcPr>
          <w:p w:rsidR="00AA1456" w:rsidRPr="00AA1456" w:rsidRDefault="00AA1456" w:rsidP="00AB578C">
            <w:pPr>
              <w:cnfStyle w:val="000000100000" w:firstRow="0" w:lastRow="0" w:firstColumn="0" w:lastColumn="0" w:oddVBand="0" w:evenVBand="0" w:oddHBand="1" w:evenHBand="0" w:firstRowFirstColumn="0" w:firstRowLastColumn="0" w:lastRowFirstColumn="0" w:lastRowLastColumn="0"/>
            </w:pPr>
            <w:r w:rsidRPr="00AA1456">
              <w:t>85</w:t>
            </w:r>
          </w:p>
        </w:tc>
        <w:tc>
          <w:tcPr>
            <w:tcW w:w="1701" w:type="dxa"/>
            <w:hideMark/>
          </w:tcPr>
          <w:p w:rsidR="00AA1456" w:rsidRPr="00AA1456" w:rsidRDefault="00AA1456" w:rsidP="00AB578C">
            <w:pPr>
              <w:cnfStyle w:val="000000100000" w:firstRow="0" w:lastRow="0" w:firstColumn="0" w:lastColumn="0" w:oddVBand="0" w:evenVBand="0" w:oddHBand="1" w:evenHBand="0" w:firstRowFirstColumn="0" w:firstRowLastColumn="0" w:lastRowFirstColumn="0" w:lastRowLastColumn="0"/>
            </w:pPr>
            <w:r w:rsidRPr="00AA1456">
              <w:t>22</w:t>
            </w:r>
          </w:p>
        </w:tc>
      </w:tr>
      <w:tr w:rsidR="00AA1456" w:rsidRPr="00AA1456" w:rsidTr="0037140F">
        <w:trPr>
          <w:trHeight w:val="315"/>
        </w:trPr>
        <w:tc>
          <w:tcPr>
            <w:cnfStyle w:val="001000000000" w:firstRow="0" w:lastRow="0" w:firstColumn="1" w:lastColumn="0" w:oddVBand="0" w:evenVBand="0" w:oddHBand="0" w:evenHBand="0" w:firstRowFirstColumn="0" w:firstRowLastColumn="0" w:lastRowFirstColumn="0" w:lastRowLastColumn="0"/>
            <w:tcW w:w="4390" w:type="dxa"/>
            <w:noWrap/>
            <w:hideMark/>
          </w:tcPr>
          <w:p w:rsidR="00AA1456" w:rsidRPr="00AA1456" w:rsidRDefault="00AA1456" w:rsidP="00AB578C">
            <w:r w:rsidRPr="00AA1456">
              <w:t>UBx BIBLIOTHEQUE ELECTRONIQUE</w:t>
            </w:r>
          </w:p>
        </w:tc>
        <w:tc>
          <w:tcPr>
            <w:tcW w:w="1701" w:type="dxa"/>
            <w:hideMark/>
          </w:tcPr>
          <w:p w:rsidR="00AA1456" w:rsidRPr="00AA1456" w:rsidRDefault="00AA1456" w:rsidP="00AB578C">
            <w:pPr>
              <w:cnfStyle w:val="000000000000" w:firstRow="0" w:lastRow="0" w:firstColumn="0" w:lastColumn="0" w:oddVBand="0" w:evenVBand="0" w:oddHBand="0" w:evenHBand="0" w:firstRowFirstColumn="0" w:firstRowLastColumn="0" w:lastRowFirstColumn="0" w:lastRowLastColumn="0"/>
            </w:pPr>
            <w:r w:rsidRPr="00AA1456">
              <w:t>21</w:t>
            </w:r>
          </w:p>
        </w:tc>
        <w:tc>
          <w:tcPr>
            <w:tcW w:w="1842" w:type="dxa"/>
            <w:hideMark/>
          </w:tcPr>
          <w:p w:rsidR="00AA1456" w:rsidRPr="00AA1456" w:rsidRDefault="00AA1456" w:rsidP="00AB578C">
            <w:pPr>
              <w:cnfStyle w:val="000000000000" w:firstRow="0" w:lastRow="0" w:firstColumn="0" w:lastColumn="0" w:oddVBand="0" w:evenVBand="0" w:oddHBand="0" w:evenHBand="0" w:firstRowFirstColumn="0" w:firstRowLastColumn="0" w:lastRowFirstColumn="0" w:lastRowLastColumn="0"/>
            </w:pPr>
            <w:r w:rsidRPr="00AA1456">
              <w:t>1</w:t>
            </w:r>
          </w:p>
        </w:tc>
        <w:tc>
          <w:tcPr>
            <w:tcW w:w="1701" w:type="dxa"/>
            <w:hideMark/>
          </w:tcPr>
          <w:p w:rsidR="00AA1456" w:rsidRPr="00AA1456" w:rsidRDefault="00AA1456" w:rsidP="00AB578C">
            <w:pPr>
              <w:cnfStyle w:val="000000000000" w:firstRow="0" w:lastRow="0" w:firstColumn="0" w:lastColumn="0" w:oddVBand="0" w:evenVBand="0" w:oddHBand="0" w:evenHBand="0" w:firstRowFirstColumn="0" w:firstRowLastColumn="0" w:lastRowFirstColumn="0" w:lastRowLastColumn="0"/>
            </w:pPr>
            <w:r w:rsidRPr="00AA1456">
              <w:t>4</w:t>
            </w:r>
          </w:p>
        </w:tc>
      </w:tr>
    </w:tbl>
    <w:p w:rsidR="00435ACB" w:rsidRDefault="00435ACB" w:rsidP="00AB578C"/>
    <w:p w:rsidR="0037140F" w:rsidRDefault="0037140F" w:rsidP="00AB578C">
      <w:pPr>
        <w:pStyle w:val="Ubx-titreniveau2"/>
      </w:pPr>
      <w:r>
        <w:t>Notices avec un PPN et sans exemplaires dans Horizon non localisées dans le SUDOC</w:t>
      </w:r>
    </w:p>
    <w:p w:rsidR="0037140F" w:rsidRPr="00AB578C" w:rsidRDefault="0037140F" w:rsidP="00AB578C">
      <w:r w:rsidRPr="00AB578C">
        <w:t>Le SCOOP a identifié 1147 notices sans aucun exemplaire dans Horizon et sans localisation dans Horizon. Le login du responsable de la dernière modification de la notice et le RCR mentionné en 930 quand ils existent permettent de rattacher la notice à un établissement. Néanmoins 649 notices ne peuvent être affectées à aucun établissement.</w:t>
      </w:r>
    </w:p>
    <w:p w:rsidR="0037140F" w:rsidRDefault="0037140F" w:rsidP="00AB578C">
      <w:r>
        <w:t xml:space="preserve">La liste des notices concernées peut être téléchargée à l’adresse suivante : </w:t>
      </w:r>
      <w:hyperlink r:id="rId15" w:history="1">
        <w:r w:rsidRPr="007208EE">
          <w:rPr>
            <w:rStyle w:val="Lienhypertexte"/>
          </w:rPr>
          <w:t>https://nuxeo.u-bordeaux.fr/nuxeo/nxdoc/default/2b41b7c7-11bb-49f9-a4c0-af65728c2bd1/view_documents</w:t>
        </w:r>
      </w:hyperlink>
      <w:r>
        <w:t>.</w:t>
      </w:r>
    </w:p>
    <w:p w:rsidR="0037140F" w:rsidRDefault="0037140F" w:rsidP="00AB578C">
      <w:r>
        <w:t xml:space="preserve">Chaque établissement peut donc traiter les cas qui le </w:t>
      </w:r>
      <w:r w:rsidR="00BE1EFF">
        <w:t>concernent</w:t>
      </w:r>
      <w:r>
        <w:t>. Les notices encore sans exemplaire et sans localisation dans le SUDOC seront toutes supprimées à partir du 16 février.</w:t>
      </w:r>
    </w:p>
    <w:p w:rsidR="009239E5" w:rsidRDefault="009239E5" w:rsidP="00AB578C">
      <w:r>
        <w:br w:type="page"/>
      </w:r>
    </w:p>
    <w:p w:rsidR="0037140F" w:rsidRDefault="0037140F" w:rsidP="00AB578C">
      <w:pPr>
        <w:pStyle w:val="Ubx-titreniveau2"/>
      </w:pPr>
      <w:r>
        <w:t>Bilan des trois campagnes</w:t>
      </w:r>
    </w:p>
    <w:tbl>
      <w:tblPr>
        <w:tblStyle w:val="TableauGrille5Fonc-Accentuation2"/>
        <w:tblW w:w="10480" w:type="dxa"/>
        <w:tblLook w:val="04A0" w:firstRow="1" w:lastRow="0" w:firstColumn="1" w:lastColumn="0" w:noHBand="0" w:noVBand="1"/>
      </w:tblPr>
      <w:tblGrid>
        <w:gridCol w:w="3075"/>
        <w:gridCol w:w="1859"/>
        <w:gridCol w:w="1859"/>
        <w:gridCol w:w="1845"/>
        <w:gridCol w:w="1842"/>
      </w:tblGrid>
      <w:tr w:rsidR="002915E8" w:rsidRPr="009239E5" w:rsidTr="002915E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Default="002915E8" w:rsidP="00AB578C">
            <w:r>
              <w:t>Etablissements/Plateforme</w:t>
            </w:r>
          </w:p>
          <w:p w:rsidR="002915E8" w:rsidRPr="009239E5" w:rsidRDefault="002915E8" w:rsidP="00AB578C"/>
        </w:tc>
        <w:tc>
          <w:tcPr>
            <w:tcW w:w="1919" w:type="dxa"/>
            <w:hideMark/>
          </w:tcPr>
          <w:p w:rsidR="002915E8" w:rsidRPr="009239E5" w:rsidRDefault="002915E8" w:rsidP="00AB578C">
            <w:pPr>
              <w:cnfStyle w:val="100000000000" w:firstRow="1" w:lastRow="0" w:firstColumn="0" w:lastColumn="0" w:oddVBand="0" w:evenVBand="0" w:oddHBand="0" w:evenHBand="0" w:firstRowFirstColumn="0" w:firstRowLastColumn="0" w:lastRowFirstColumn="0" w:lastRowLastColumn="0"/>
            </w:pPr>
            <w:r w:rsidRPr="009239E5">
              <w:t>Somme de Nombres d'anomalies signalées lors dela campagne 3</w:t>
            </w:r>
          </w:p>
        </w:tc>
        <w:tc>
          <w:tcPr>
            <w:tcW w:w="1919" w:type="dxa"/>
            <w:hideMark/>
          </w:tcPr>
          <w:p w:rsidR="002915E8" w:rsidRPr="009239E5" w:rsidRDefault="002915E8" w:rsidP="00AB578C">
            <w:pPr>
              <w:cnfStyle w:val="100000000000" w:firstRow="1" w:lastRow="0" w:firstColumn="0" w:lastColumn="0" w:oddVBand="0" w:evenVBand="0" w:oddHBand="0" w:evenHBand="0" w:firstRowFirstColumn="0" w:firstRowLastColumn="0" w:lastRowFirstColumn="0" w:lastRowLastColumn="0"/>
            </w:pPr>
            <w:r w:rsidRPr="009239E5">
              <w:t>Somme de Nombres d'anomalies signalées lors dela campagne 2</w:t>
            </w:r>
          </w:p>
        </w:tc>
        <w:tc>
          <w:tcPr>
            <w:tcW w:w="1903" w:type="dxa"/>
          </w:tcPr>
          <w:p w:rsidR="002915E8" w:rsidRPr="009239E5" w:rsidRDefault="002915E8" w:rsidP="00AB578C">
            <w:pPr>
              <w:cnfStyle w:val="100000000000" w:firstRow="1" w:lastRow="0" w:firstColumn="0" w:lastColumn="0" w:oddVBand="0" w:evenVBand="0" w:oddHBand="0" w:evenHBand="0" w:firstRowFirstColumn="0" w:firstRowLastColumn="0" w:lastRowFirstColumn="0" w:lastRowLastColumn="0"/>
            </w:pPr>
            <w:r w:rsidRPr="009239E5">
              <w:t>Somme de Nombres d'anomalies signalées lors dela campagne 1</w:t>
            </w:r>
          </w:p>
        </w:tc>
        <w:tc>
          <w:tcPr>
            <w:tcW w:w="1918" w:type="dxa"/>
            <w:hideMark/>
          </w:tcPr>
          <w:p w:rsidR="002915E8" w:rsidRPr="009239E5" w:rsidRDefault="002915E8" w:rsidP="00AB578C">
            <w:pPr>
              <w:cnfStyle w:val="100000000000" w:firstRow="1" w:lastRow="0" w:firstColumn="0" w:lastColumn="0" w:oddVBand="0" w:evenVBand="0" w:oddHBand="0" w:evenHBand="0" w:firstRowFirstColumn="0" w:firstRowLastColumn="0" w:lastRowFirstColumn="0" w:lastRowLastColumn="0"/>
            </w:pPr>
            <w:r w:rsidRPr="009239E5">
              <w:t>Evolution du nombre d'anomalie depuis la première campagne d'analyse</w:t>
            </w:r>
          </w:p>
        </w:tc>
      </w:tr>
      <w:tr w:rsidR="002915E8" w:rsidRPr="009239E5" w:rsidTr="00291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IEP</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841</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5677</w:t>
            </w:r>
          </w:p>
        </w:tc>
        <w:tc>
          <w:tcPr>
            <w:tcW w:w="1903" w:type="dxa"/>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8768</w:t>
            </w:r>
          </w:p>
        </w:tc>
        <w:tc>
          <w:tcPr>
            <w:tcW w:w="1918"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-90,41%</w:t>
            </w:r>
          </w:p>
        </w:tc>
      </w:tr>
      <w:tr w:rsidR="002915E8" w:rsidRPr="009239E5" w:rsidTr="002915E8">
        <w:trPr>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INP</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131</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164</w:t>
            </w:r>
          </w:p>
        </w:tc>
        <w:tc>
          <w:tcPr>
            <w:tcW w:w="1903" w:type="dxa"/>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319</w:t>
            </w:r>
          </w:p>
        </w:tc>
        <w:tc>
          <w:tcPr>
            <w:tcW w:w="1918"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-58,93%</w:t>
            </w:r>
          </w:p>
        </w:tc>
      </w:tr>
      <w:tr w:rsidR="002915E8" w:rsidRPr="009239E5" w:rsidTr="00291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Univ. Bordeaux Montaigne</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624</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2130</w:t>
            </w:r>
          </w:p>
        </w:tc>
        <w:tc>
          <w:tcPr>
            <w:tcW w:w="1903" w:type="dxa"/>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25828</w:t>
            </w:r>
          </w:p>
        </w:tc>
        <w:tc>
          <w:tcPr>
            <w:tcW w:w="1918"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-97,58%</w:t>
            </w:r>
          </w:p>
        </w:tc>
      </w:tr>
      <w:tr w:rsidR="002915E8" w:rsidRPr="009239E5" w:rsidTr="002915E8">
        <w:trPr>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Univ. de Bordeaux</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3857</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19450</w:t>
            </w:r>
          </w:p>
        </w:tc>
        <w:tc>
          <w:tcPr>
            <w:tcW w:w="1903" w:type="dxa"/>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52719</w:t>
            </w:r>
          </w:p>
        </w:tc>
        <w:tc>
          <w:tcPr>
            <w:tcW w:w="1918"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-92,68%</w:t>
            </w:r>
          </w:p>
        </w:tc>
      </w:tr>
      <w:tr w:rsidR="002915E8" w:rsidRPr="009239E5" w:rsidTr="00291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CFRCB</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23</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31</w:t>
            </w:r>
          </w:p>
        </w:tc>
        <w:tc>
          <w:tcPr>
            <w:tcW w:w="1903" w:type="dxa"/>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154</w:t>
            </w:r>
          </w:p>
        </w:tc>
        <w:tc>
          <w:tcPr>
            <w:tcW w:w="1918"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-85,06%</w:t>
            </w:r>
          </w:p>
        </w:tc>
      </w:tr>
      <w:tr w:rsidR="002915E8" w:rsidRPr="009239E5" w:rsidTr="002915E8">
        <w:trPr>
          <w:trHeight w:val="285"/>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DSPEG</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3467</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8208</w:t>
            </w:r>
          </w:p>
        </w:tc>
        <w:tc>
          <w:tcPr>
            <w:tcW w:w="1903" w:type="dxa"/>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21630</w:t>
            </w:r>
          </w:p>
        </w:tc>
        <w:tc>
          <w:tcPr>
            <w:tcW w:w="1918"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-83,97%</w:t>
            </w:r>
          </w:p>
        </w:tc>
      </w:tr>
      <w:tr w:rsidR="002915E8" w:rsidRPr="009239E5" w:rsidTr="00291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ST</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199</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596</w:t>
            </w:r>
          </w:p>
        </w:tc>
        <w:tc>
          <w:tcPr>
            <w:tcW w:w="1903" w:type="dxa"/>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6189</w:t>
            </w:r>
          </w:p>
        </w:tc>
        <w:tc>
          <w:tcPr>
            <w:tcW w:w="1918"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-96,78%</w:t>
            </w:r>
          </w:p>
        </w:tc>
      </w:tr>
      <w:tr w:rsidR="002915E8" w:rsidRPr="009239E5" w:rsidTr="002915E8">
        <w:trPr>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SVS-SHS</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168</w:t>
            </w:r>
          </w:p>
        </w:tc>
        <w:tc>
          <w:tcPr>
            <w:tcW w:w="1919"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10615</w:t>
            </w:r>
          </w:p>
        </w:tc>
        <w:tc>
          <w:tcPr>
            <w:tcW w:w="1903" w:type="dxa"/>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24746</w:t>
            </w:r>
          </w:p>
        </w:tc>
        <w:tc>
          <w:tcPr>
            <w:tcW w:w="1918" w:type="dxa"/>
            <w:hideMark/>
          </w:tcPr>
          <w:p w:rsidR="002915E8" w:rsidRPr="009239E5" w:rsidRDefault="002915E8" w:rsidP="00AB578C">
            <w:pPr>
              <w:cnfStyle w:val="000000000000" w:firstRow="0" w:lastRow="0" w:firstColumn="0" w:lastColumn="0" w:oddVBand="0" w:evenVBand="0" w:oddHBand="0" w:evenHBand="0" w:firstRowFirstColumn="0" w:firstRowLastColumn="0" w:lastRowFirstColumn="0" w:lastRowLastColumn="0"/>
            </w:pPr>
            <w:r w:rsidRPr="009239E5">
              <w:t>-99,32%</w:t>
            </w:r>
          </w:p>
        </w:tc>
      </w:tr>
      <w:tr w:rsidR="002915E8" w:rsidRPr="009239E5" w:rsidTr="00291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1" w:type="dxa"/>
            <w:noWrap/>
            <w:hideMark/>
          </w:tcPr>
          <w:p w:rsidR="002915E8" w:rsidRPr="009239E5" w:rsidRDefault="002915E8" w:rsidP="00AB578C">
            <w:r w:rsidRPr="009239E5">
              <w:t>Total général</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5453</w:t>
            </w:r>
          </w:p>
        </w:tc>
        <w:tc>
          <w:tcPr>
            <w:tcW w:w="1919"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27421</w:t>
            </w:r>
          </w:p>
        </w:tc>
        <w:tc>
          <w:tcPr>
            <w:tcW w:w="1903" w:type="dxa"/>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87634</w:t>
            </w:r>
          </w:p>
        </w:tc>
        <w:tc>
          <w:tcPr>
            <w:tcW w:w="1918" w:type="dxa"/>
            <w:hideMark/>
          </w:tcPr>
          <w:p w:rsidR="002915E8" w:rsidRPr="009239E5" w:rsidRDefault="002915E8" w:rsidP="00AB578C">
            <w:pPr>
              <w:cnfStyle w:val="000000100000" w:firstRow="0" w:lastRow="0" w:firstColumn="0" w:lastColumn="0" w:oddVBand="0" w:evenVBand="0" w:oddHBand="1" w:evenHBand="0" w:firstRowFirstColumn="0" w:firstRowLastColumn="0" w:lastRowFirstColumn="0" w:lastRowLastColumn="0"/>
            </w:pPr>
            <w:r w:rsidRPr="009239E5">
              <w:t>-93,78%</w:t>
            </w:r>
          </w:p>
        </w:tc>
      </w:tr>
    </w:tbl>
    <w:p w:rsidR="0037140F" w:rsidRDefault="002915E8" w:rsidP="00AB578C">
      <w:pPr>
        <w:pStyle w:val="Lgende"/>
      </w:pPr>
      <w:r>
        <w:t xml:space="preserve">Tableau </w:t>
      </w:r>
      <w:fldSimple w:instr=" SEQ Tableau \* ARABIC ">
        <w:r>
          <w:rPr>
            <w:noProof/>
          </w:rPr>
          <w:t>1</w:t>
        </w:r>
      </w:fldSimple>
      <w:r>
        <w:t>: Evolution du nombre cumulé d'anomalies entre la première et la dernière campagne de signalement</w:t>
      </w:r>
    </w:p>
    <w:p w:rsidR="0037140F" w:rsidRPr="002915E8" w:rsidRDefault="002915E8" w:rsidP="00AB578C">
      <w:r>
        <w:t>Comme le montre le tableau ci-dessus, un travail conséquent a été réalisé depuis que le chantier de nettoyage du catalogue a été engagé. Le SCOOP tient à remercier l’ensemble des équipes ayant contribué à cette tâche.</w:t>
      </w:r>
    </w:p>
    <w:p w:rsidR="002915E8" w:rsidRDefault="002915E8" w:rsidP="00AB578C">
      <w:r>
        <w:t>Le détail des données par bibliothèque peut être téléchargé à l’adresse suivante :</w:t>
      </w:r>
    </w:p>
    <w:p w:rsidR="002915E8" w:rsidRDefault="00ED2E78" w:rsidP="00AB578C">
      <w:hyperlink r:id="rId16" w:history="1">
        <w:r w:rsidR="002915E8" w:rsidRPr="002915E8">
          <w:rPr>
            <w:rStyle w:val="Lienhypertexte"/>
          </w:rPr>
          <w:t>https://nuxeo.u-bordeaux.fr/nuxeo/nxdoc/default/2d76289b-8519-4c22-9951-2e3b4d23c0f5/view_documents</w:t>
        </w:r>
      </w:hyperlink>
    </w:p>
    <w:p w:rsidR="002915E8" w:rsidRDefault="002915E8" w:rsidP="00AB578C"/>
    <w:p w:rsidR="004B3D60" w:rsidRPr="0037140F" w:rsidRDefault="002915E8" w:rsidP="00AB578C">
      <w:pPr>
        <w:pStyle w:val="UBx-titreniveau1"/>
        <w:rPr>
          <w:rFonts w:eastAsia="Arial Unicode MS"/>
          <w:u w:color="000000"/>
        </w:rPr>
      </w:pPr>
      <w:r>
        <w:rPr>
          <w:rFonts w:eastAsia="Arial Unicode MS"/>
          <w:u w:color="000000"/>
        </w:rPr>
        <w:t>Les</w:t>
      </w:r>
      <w:r w:rsidR="004B3D60" w:rsidRPr="0037140F">
        <w:rPr>
          <w:rFonts w:eastAsia="Arial Unicode MS"/>
          <w:u w:color="000000"/>
        </w:rPr>
        <w:t xml:space="preserve"> notices Locales</w:t>
      </w:r>
    </w:p>
    <w:p w:rsidR="004B3D60" w:rsidRPr="003B4FCF" w:rsidRDefault="00ED2E78" w:rsidP="00AB578C">
      <w:pPr>
        <w:rPr>
          <w:rFonts w:ascii="Times New Roman" w:eastAsia="Arial Unicode MS" w:hAnsi="Times New Roman"/>
          <w:color w:val="000000"/>
          <w:szCs w:val="22"/>
          <w:u w:color="000000"/>
        </w:rPr>
      </w:pPr>
      <w:hyperlink r:id="rId17" w:history="1">
        <w:r w:rsidR="004B3D60" w:rsidRPr="003B4FCF">
          <w:rPr>
            <w:rStyle w:val="Lienhypertexte"/>
            <w:rFonts w:ascii="Times New Roman" w:eastAsia="Arial Unicode MS" w:hAnsi="Times New Roman"/>
            <w:szCs w:val="22"/>
            <w:u w:color="000000"/>
          </w:rPr>
          <w:t>https://nuxeo.u-bordeaux.fr/nuxeo/nxdoc/default/84a47113-1d6c-4ffc-87fb-fa3c70b283da/view_documents</w:t>
        </w:r>
      </w:hyperlink>
    </w:p>
    <w:tbl>
      <w:tblPr>
        <w:tblStyle w:val="TableauGrille5Fonc-Accentuation2"/>
        <w:tblW w:w="6480" w:type="dxa"/>
        <w:tblLook w:val="04A0" w:firstRow="1" w:lastRow="0" w:firstColumn="1" w:lastColumn="0" w:noHBand="0" w:noVBand="1"/>
      </w:tblPr>
      <w:tblGrid>
        <w:gridCol w:w="3075"/>
        <w:gridCol w:w="3660"/>
      </w:tblGrid>
      <w:tr w:rsidR="00AB578C" w:rsidRPr="00AB578C" w:rsidTr="00AB57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t>Etablissements/Plateforme</w:t>
            </w:r>
          </w:p>
        </w:tc>
        <w:tc>
          <w:tcPr>
            <w:tcW w:w="3660" w:type="dxa"/>
            <w:noWrap/>
            <w:hideMark/>
          </w:tcPr>
          <w:p w:rsidR="00AB578C" w:rsidRPr="00AB578C" w:rsidRDefault="00AB578C" w:rsidP="00AB578C">
            <w:pPr>
              <w:cnfStyle w:val="100000000000" w:firstRow="1" w:lastRow="0" w:firstColumn="0" w:lastColumn="0" w:oddVBand="0" w:evenVBand="0" w:oddHBand="0" w:evenHBand="0" w:firstRowFirstColumn="0" w:firstRowLastColumn="0" w:lastRowFirstColumn="0" w:lastRowLastColumn="0"/>
            </w:pPr>
            <w:r w:rsidRPr="00AB578C">
              <w:t>Somme de Nombre de notices locales</w:t>
            </w:r>
          </w:p>
        </w:tc>
      </w:tr>
      <w:tr w:rsidR="00AB578C" w:rsidRPr="00AB578C" w:rsidTr="00AB57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t>Sans exemplaires</w:t>
            </w:r>
          </w:p>
        </w:tc>
        <w:tc>
          <w:tcPr>
            <w:tcW w:w="3660" w:type="dxa"/>
            <w:noWrap/>
            <w:hideMark/>
          </w:tcPr>
          <w:p w:rsidR="00AB578C" w:rsidRPr="00AB578C" w:rsidRDefault="00AB578C" w:rsidP="00AB578C">
            <w:pPr>
              <w:cnfStyle w:val="000000100000" w:firstRow="0" w:lastRow="0" w:firstColumn="0" w:lastColumn="0" w:oddVBand="0" w:evenVBand="0" w:oddHBand="1" w:evenHBand="0" w:firstRowFirstColumn="0" w:firstRowLastColumn="0" w:lastRowFirstColumn="0" w:lastRowLastColumn="0"/>
            </w:pPr>
            <w:r w:rsidRPr="00AB578C">
              <w:t>4620</w:t>
            </w:r>
          </w:p>
        </w:tc>
      </w:tr>
      <w:tr w:rsidR="00AB578C" w:rsidRPr="00AB578C" w:rsidTr="00AB578C">
        <w:trPr>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IEP</w:t>
            </w:r>
          </w:p>
        </w:tc>
        <w:tc>
          <w:tcPr>
            <w:tcW w:w="3660" w:type="dxa"/>
            <w:noWrap/>
            <w:hideMark/>
          </w:tcPr>
          <w:p w:rsidR="00AB578C" w:rsidRPr="00AB578C" w:rsidRDefault="00AB578C" w:rsidP="00AB578C">
            <w:pPr>
              <w:cnfStyle w:val="000000000000" w:firstRow="0" w:lastRow="0" w:firstColumn="0" w:lastColumn="0" w:oddVBand="0" w:evenVBand="0" w:oddHBand="0" w:evenHBand="0" w:firstRowFirstColumn="0" w:firstRowLastColumn="0" w:lastRowFirstColumn="0" w:lastRowLastColumn="0"/>
            </w:pPr>
            <w:r w:rsidRPr="00AB578C">
              <w:t>27550</w:t>
            </w:r>
          </w:p>
        </w:tc>
      </w:tr>
      <w:tr w:rsidR="00AB578C" w:rsidRPr="00AB578C" w:rsidTr="00AB57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INP</w:t>
            </w:r>
          </w:p>
        </w:tc>
        <w:tc>
          <w:tcPr>
            <w:tcW w:w="3660" w:type="dxa"/>
            <w:noWrap/>
            <w:hideMark/>
          </w:tcPr>
          <w:p w:rsidR="00AB578C" w:rsidRPr="00AB578C" w:rsidRDefault="00AB578C" w:rsidP="00AB578C">
            <w:pPr>
              <w:cnfStyle w:val="000000100000" w:firstRow="0" w:lastRow="0" w:firstColumn="0" w:lastColumn="0" w:oddVBand="0" w:evenVBand="0" w:oddHBand="1" w:evenHBand="0" w:firstRowFirstColumn="0" w:firstRowLastColumn="0" w:lastRowFirstColumn="0" w:lastRowLastColumn="0"/>
            </w:pPr>
            <w:r w:rsidRPr="00AB578C">
              <w:t>438</w:t>
            </w:r>
          </w:p>
        </w:tc>
      </w:tr>
      <w:tr w:rsidR="00AB578C" w:rsidRPr="00AB578C" w:rsidTr="00AB578C">
        <w:trPr>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Univ. Bordeaux Montaigne</w:t>
            </w:r>
          </w:p>
        </w:tc>
        <w:tc>
          <w:tcPr>
            <w:tcW w:w="3660" w:type="dxa"/>
            <w:noWrap/>
            <w:hideMark/>
          </w:tcPr>
          <w:p w:rsidR="00AB578C" w:rsidRPr="00AB578C" w:rsidRDefault="00AB578C" w:rsidP="00AB578C">
            <w:pPr>
              <w:cnfStyle w:val="000000000000" w:firstRow="0" w:lastRow="0" w:firstColumn="0" w:lastColumn="0" w:oddVBand="0" w:evenVBand="0" w:oddHBand="0" w:evenHBand="0" w:firstRowFirstColumn="0" w:firstRowLastColumn="0" w:lastRowFirstColumn="0" w:lastRowLastColumn="0"/>
            </w:pPr>
            <w:r w:rsidRPr="00AB578C">
              <w:t>24460</w:t>
            </w:r>
          </w:p>
        </w:tc>
      </w:tr>
      <w:tr w:rsidR="00AB578C" w:rsidRPr="00AB578C" w:rsidTr="00AB57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Univ. de Bordeaux</w:t>
            </w:r>
          </w:p>
        </w:tc>
        <w:tc>
          <w:tcPr>
            <w:tcW w:w="3660" w:type="dxa"/>
            <w:noWrap/>
            <w:hideMark/>
          </w:tcPr>
          <w:p w:rsidR="00AB578C" w:rsidRPr="00AB578C" w:rsidRDefault="00AB578C" w:rsidP="00AB578C">
            <w:pPr>
              <w:cnfStyle w:val="000000100000" w:firstRow="0" w:lastRow="0" w:firstColumn="0" w:lastColumn="0" w:oddVBand="0" w:evenVBand="0" w:oddHBand="1" w:evenHBand="0" w:firstRowFirstColumn="0" w:firstRowLastColumn="0" w:lastRowFirstColumn="0" w:lastRowLastColumn="0"/>
            </w:pPr>
            <w:r w:rsidRPr="00AB578C">
              <w:t>9915</w:t>
            </w:r>
          </w:p>
        </w:tc>
      </w:tr>
      <w:tr w:rsidR="00AB578C" w:rsidRPr="00AB578C" w:rsidTr="00AB578C">
        <w:trPr>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CFRCB</w:t>
            </w:r>
          </w:p>
        </w:tc>
        <w:tc>
          <w:tcPr>
            <w:tcW w:w="3660" w:type="dxa"/>
            <w:noWrap/>
            <w:hideMark/>
          </w:tcPr>
          <w:p w:rsidR="00AB578C" w:rsidRPr="00AB578C" w:rsidRDefault="00AB578C" w:rsidP="00AB578C">
            <w:pPr>
              <w:cnfStyle w:val="000000000000" w:firstRow="0" w:lastRow="0" w:firstColumn="0" w:lastColumn="0" w:oddVBand="0" w:evenVBand="0" w:oddHBand="0" w:evenHBand="0" w:firstRowFirstColumn="0" w:firstRowLastColumn="0" w:lastRowFirstColumn="0" w:lastRowLastColumn="0"/>
            </w:pPr>
            <w:r w:rsidRPr="00AB578C">
              <w:t>7</w:t>
            </w:r>
          </w:p>
        </w:tc>
      </w:tr>
      <w:tr w:rsidR="00AB578C" w:rsidRPr="00AB578C" w:rsidTr="00AB57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DSPEG</w:t>
            </w:r>
          </w:p>
        </w:tc>
        <w:tc>
          <w:tcPr>
            <w:tcW w:w="3660" w:type="dxa"/>
            <w:noWrap/>
            <w:hideMark/>
          </w:tcPr>
          <w:p w:rsidR="00AB578C" w:rsidRPr="00AB578C" w:rsidRDefault="00AB578C" w:rsidP="00AB578C">
            <w:pPr>
              <w:cnfStyle w:val="000000100000" w:firstRow="0" w:lastRow="0" w:firstColumn="0" w:lastColumn="0" w:oddVBand="0" w:evenVBand="0" w:oddHBand="1" w:evenHBand="0" w:firstRowFirstColumn="0" w:firstRowLastColumn="0" w:lastRowFirstColumn="0" w:lastRowLastColumn="0"/>
            </w:pPr>
            <w:r w:rsidRPr="00AB578C">
              <w:t>9166</w:t>
            </w:r>
          </w:p>
        </w:tc>
      </w:tr>
      <w:tr w:rsidR="00AB578C" w:rsidRPr="00AB578C" w:rsidTr="00AB578C">
        <w:trPr>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ST</w:t>
            </w:r>
          </w:p>
        </w:tc>
        <w:tc>
          <w:tcPr>
            <w:tcW w:w="3660" w:type="dxa"/>
            <w:noWrap/>
            <w:hideMark/>
          </w:tcPr>
          <w:p w:rsidR="00AB578C" w:rsidRPr="00AB578C" w:rsidRDefault="00AB578C" w:rsidP="00AB578C">
            <w:pPr>
              <w:cnfStyle w:val="000000000000" w:firstRow="0" w:lastRow="0" w:firstColumn="0" w:lastColumn="0" w:oddVBand="0" w:evenVBand="0" w:oddHBand="0" w:evenHBand="0" w:firstRowFirstColumn="0" w:firstRowLastColumn="0" w:lastRowFirstColumn="0" w:lastRowLastColumn="0"/>
            </w:pPr>
            <w:r w:rsidRPr="00AB578C">
              <w:t>21</w:t>
            </w:r>
          </w:p>
        </w:tc>
      </w:tr>
      <w:tr w:rsidR="00AB578C" w:rsidRPr="00AB578C" w:rsidTr="00AB57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SVS-SHS</w:t>
            </w:r>
          </w:p>
        </w:tc>
        <w:tc>
          <w:tcPr>
            <w:tcW w:w="3660" w:type="dxa"/>
            <w:noWrap/>
            <w:hideMark/>
          </w:tcPr>
          <w:p w:rsidR="00AB578C" w:rsidRPr="00AB578C" w:rsidRDefault="00AB578C" w:rsidP="00AB578C">
            <w:pPr>
              <w:cnfStyle w:val="000000100000" w:firstRow="0" w:lastRow="0" w:firstColumn="0" w:lastColumn="0" w:oddVBand="0" w:evenVBand="0" w:oddHBand="1" w:evenHBand="0" w:firstRowFirstColumn="0" w:firstRowLastColumn="0" w:lastRowFirstColumn="0" w:lastRowLastColumn="0"/>
            </w:pPr>
            <w:r w:rsidRPr="00AB578C">
              <w:t>721</w:t>
            </w:r>
          </w:p>
        </w:tc>
      </w:tr>
      <w:tr w:rsidR="00AB578C" w:rsidRPr="00AB578C" w:rsidTr="00AB578C">
        <w:trPr>
          <w:trHeight w:val="300"/>
        </w:trPr>
        <w:tc>
          <w:tcPr>
            <w:cnfStyle w:val="001000000000" w:firstRow="0" w:lastRow="0" w:firstColumn="1" w:lastColumn="0" w:oddVBand="0" w:evenVBand="0" w:oddHBand="0" w:evenHBand="0" w:firstRowFirstColumn="0" w:firstRowLastColumn="0" w:lastRowFirstColumn="0" w:lastRowLastColumn="0"/>
            <w:tcW w:w="2820" w:type="dxa"/>
            <w:noWrap/>
            <w:hideMark/>
          </w:tcPr>
          <w:p w:rsidR="00AB578C" w:rsidRPr="00AB578C" w:rsidRDefault="00AB578C" w:rsidP="00AB578C">
            <w:r w:rsidRPr="00AB578C">
              <w:t>Total général</w:t>
            </w:r>
          </w:p>
        </w:tc>
        <w:tc>
          <w:tcPr>
            <w:tcW w:w="3660" w:type="dxa"/>
            <w:noWrap/>
            <w:hideMark/>
          </w:tcPr>
          <w:p w:rsidR="00AB578C" w:rsidRPr="00AB578C" w:rsidRDefault="00AB578C" w:rsidP="00AB578C">
            <w:pPr>
              <w:cnfStyle w:val="000000000000" w:firstRow="0" w:lastRow="0" w:firstColumn="0" w:lastColumn="0" w:oddVBand="0" w:evenVBand="0" w:oddHBand="0" w:evenHBand="0" w:firstRowFirstColumn="0" w:firstRowLastColumn="0" w:lastRowFirstColumn="0" w:lastRowLastColumn="0"/>
            </w:pPr>
            <w:r w:rsidRPr="00AB578C">
              <w:t>66983</w:t>
            </w:r>
          </w:p>
        </w:tc>
      </w:tr>
    </w:tbl>
    <w:p w:rsidR="00AB578C" w:rsidRDefault="00AB578C" w:rsidP="00AB578C">
      <w:pPr>
        <w:rPr>
          <w:rFonts w:eastAsia="Arial Unicode MS"/>
          <w:u w:color="000000"/>
        </w:rPr>
      </w:pPr>
    </w:p>
    <w:p w:rsidR="00435ACB" w:rsidRDefault="00AB578C" w:rsidP="00AB578C">
      <w:pPr>
        <w:rPr>
          <w:rFonts w:eastAsia="Arial Unicode MS"/>
          <w:u w:color="000000"/>
        </w:rPr>
      </w:pPr>
      <w:r>
        <w:rPr>
          <w:rFonts w:eastAsia="Arial Unicode MS"/>
          <w:u w:color="000000"/>
        </w:rPr>
        <w:t>Le SCOOP signale que des localisations automatiques sont encore possible</w:t>
      </w:r>
      <w:r w:rsidR="00C42DF9">
        <w:rPr>
          <w:rFonts w:eastAsia="Arial Unicode MS"/>
          <w:u w:color="000000"/>
        </w:rPr>
        <w:t>s</w:t>
      </w:r>
      <w:r>
        <w:rPr>
          <w:rFonts w:eastAsia="Arial Unicode MS"/>
          <w:u w:color="000000"/>
        </w:rPr>
        <w:t xml:space="preserve"> pour les établissements suivants </w:t>
      </w:r>
      <w:r w:rsidR="00ED2E78">
        <w:rPr>
          <w:rFonts w:eastAsia="Arial Unicode MS"/>
          <w:u w:color="000000"/>
        </w:rPr>
        <w:t>(c</w:t>
      </w:r>
      <w:r w:rsidR="00F327D8" w:rsidRPr="00ED2E78">
        <w:rPr>
          <w:rFonts w:eastAsia="Arial Unicode MS"/>
          <w:u w:color="000000"/>
        </w:rPr>
        <w:t>haque responsable de chantier devra en faire la demande par ticket GLPI</w:t>
      </w:r>
      <w:r w:rsidR="00F327D8" w:rsidRPr="00ED2E78">
        <w:rPr>
          <w:rFonts w:eastAsia="Arial Unicode MS"/>
          <w:u w:color="000000"/>
        </w:rPr>
        <w:t xml:space="preserve">) </w:t>
      </w:r>
      <w:r>
        <w:rPr>
          <w:rFonts w:eastAsia="Arial Unicode MS"/>
          <w:u w:color="000000"/>
        </w:rPr>
        <w:t xml:space="preserve">: </w:t>
      </w:r>
    </w:p>
    <w:p w:rsidR="00A57B12" w:rsidRDefault="00A57B12" w:rsidP="00AB578C">
      <w:pPr>
        <w:rPr>
          <w:rFonts w:eastAsia="Arial Unicode MS"/>
          <w:u w:color="000000"/>
        </w:rPr>
      </w:pPr>
    </w:p>
    <w:tbl>
      <w:tblPr>
        <w:tblStyle w:val="TableauGrille5Fonc-Accentuation2"/>
        <w:tblW w:w="9386" w:type="dxa"/>
        <w:tblLook w:val="04A0" w:firstRow="1" w:lastRow="0" w:firstColumn="1" w:lastColumn="0" w:noHBand="0" w:noVBand="1"/>
      </w:tblPr>
      <w:tblGrid>
        <w:gridCol w:w="3309"/>
        <w:gridCol w:w="2186"/>
        <w:gridCol w:w="1254"/>
        <w:gridCol w:w="966"/>
        <w:gridCol w:w="1886"/>
      </w:tblGrid>
      <w:tr w:rsidR="00C42DF9" w:rsidRPr="00C42DF9" w:rsidTr="00C42D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FFFFFF"/>
                <w:szCs w:val="22"/>
              </w:rPr>
            </w:pPr>
            <w:r w:rsidRPr="00C42DF9">
              <w:rPr>
                <w:rFonts w:ascii="Calibri" w:hAnsi="Calibri"/>
                <w:color w:val="FFFFFF"/>
                <w:szCs w:val="22"/>
              </w:rPr>
              <w:t>Bibliothèque</w:t>
            </w:r>
          </w:p>
        </w:tc>
        <w:tc>
          <w:tcPr>
            <w:tcW w:w="2186" w:type="dxa"/>
            <w:noWrap/>
            <w:hideMark/>
          </w:tcPr>
          <w:p w:rsidR="00C42DF9" w:rsidRPr="00C42DF9" w:rsidRDefault="00C42DF9" w:rsidP="00C42DF9">
            <w:pPr>
              <w:jc w:val="left"/>
              <w:cnfStyle w:val="100000000000" w:firstRow="1" w:lastRow="0" w:firstColumn="0" w:lastColumn="0" w:oddVBand="0" w:evenVBand="0" w:oddHBand="0" w:evenHBand="0" w:firstRowFirstColumn="0" w:firstRowLastColumn="0" w:lastRowFirstColumn="0" w:lastRowLastColumn="0"/>
              <w:rPr>
                <w:rFonts w:ascii="Calibri" w:hAnsi="Calibri"/>
                <w:color w:val="FFFFFF"/>
                <w:szCs w:val="22"/>
              </w:rPr>
            </w:pPr>
            <w:r w:rsidRPr="00C42DF9">
              <w:rPr>
                <w:rFonts w:ascii="Calibri" w:hAnsi="Calibri"/>
                <w:color w:val="FFFFFF"/>
                <w:szCs w:val="22"/>
              </w:rPr>
              <w:t>Etablissement</w:t>
            </w:r>
          </w:p>
        </w:tc>
        <w:tc>
          <w:tcPr>
            <w:tcW w:w="1254" w:type="dxa"/>
            <w:noWrap/>
            <w:hideMark/>
          </w:tcPr>
          <w:p w:rsidR="00C42DF9" w:rsidRPr="00C42DF9" w:rsidRDefault="00C42DF9" w:rsidP="00C42DF9">
            <w:pPr>
              <w:jc w:val="left"/>
              <w:cnfStyle w:val="100000000000" w:firstRow="1" w:lastRow="0" w:firstColumn="0" w:lastColumn="0" w:oddVBand="0" w:evenVBand="0" w:oddHBand="0" w:evenHBand="0" w:firstRowFirstColumn="0" w:firstRowLastColumn="0" w:lastRowFirstColumn="0" w:lastRowLastColumn="0"/>
              <w:rPr>
                <w:rFonts w:ascii="Calibri" w:hAnsi="Calibri"/>
                <w:color w:val="FFFFFF"/>
                <w:szCs w:val="22"/>
              </w:rPr>
            </w:pPr>
            <w:r w:rsidRPr="00C42DF9">
              <w:rPr>
                <w:rFonts w:ascii="Calibri" w:hAnsi="Calibri"/>
                <w:color w:val="FFFFFF"/>
                <w:szCs w:val="22"/>
              </w:rPr>
              <w:t>Plateforme</w:t>
            </w:r>
          </w:p>
        </w:tc>
        <w:tc>
          <w:tcPr>
            <w:tcW w:w="952" w:type="dxa"/>
            <w:noWrap/>
            <w:hideMark/>
          </w:tcPr>
          <w:p w:rsidR="00C42DF9" w:rsidRPr="00C42DF9" w:rsidRDefault="00C42DF9" w:rsidP="00C42DF9">
            <w:pPr>
              <w:jc w:val="left"/>
              <w:cnfStyle w:val="100000000000" w:firstRow="1" w:lastRow="0" w:firstColumn="0" w:lastColumn="0" w:oddVBand="0" w:evenVBand="0" w:oddHBand="0" w:evenHBand="0" w:firstRowFirstColumn="0" w:firstRowLastColumn="0" w:lastRowFirstColumn="0" w:lastRowLastColumn="0"/>
              <w:rPr>
                <w:rFonts w:ascii="Calibri" w:hAnsi="Calibri"/>
                <w:color w:val="FFFFFF"/>
                <w:szCs w:val="22"/>
              </w:rPr>
            </w:pPr>
            <w:r w:rsidRPr="00C42DF9">
              <w:rPr>
                <w:rFonts w:ascii="Calibri" w:hAnsi="Calibri"/>
                <w:color w:val="FFFFFF"/>
                <w:szCs w:val="22"/>
              </w:rPr>
              <w:t>Nombre de notices locales</w:t>
            </w:r>
          </w:p>
        </w:tc>
        <w:tc>
          <w:tcPr>
            <w:tcW w:w="1685" w:type="dxa"/>
            <w:noWrap/>
            <w:hideMark/>
          </w:tcPr>
          <w:p w:rsidR="00C42DF9" w:rsidRPr="00C42DF9" w:rsidRDefault="00C42DF9" w:rsidP="00C42DF9">
            <w:pPr>
              <w:jc w:val="left"/>
              <w:cnfStyle w:val="100000000000" w:firstRow="1" w:lastRow="0" w:firstColumn="0" w:lastColumn="0" w:oddVBand="0" w:evenVBand="0" w:oddHBand="0" w:evenHBand="0" w:firstRowFirstColumn="0" w:firstRowLastColumn="0" w:lastRowFirstColumn="0" w:lastRowLastColumn="0"/>
              <w:rPr>
                <w:rFonts w:ascii="Calibri" w:hAnsi="Calibri"/>
                <w:color w:val="FFFFFF"/>
                <w:szCs w:val="22"/>
              </w:rPr>
            </w:pPr>
            <w:r w:rsidRPr="00C42DF9">
              <w:rPr>
                <w:rFonts w:ascii="Calibri" w:hAnsi="Calibri"/>
                <w:color w:val="FFFFFF"/>
                <w:szCs w:val="22"/>
              </w:rPr>
              <w:t>Nombre de notices pouvant être traitées automatiquement</w:t>
            </w:r>
          </w:p>
        </w:tc>
      </w:tr>
      <w:tr w:rsidR="00C42DF9" w:rsidRPr="00C42DF9" w:rsidTr="00C42D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000000"/>
                <w:sz w:val="20"/>
                <w:szCs w:val="20"/>
              </w:rPr>
            </w:pPr>
            <w:r w:rsidRPr="00C42DF9">
              <w:rPr>
                <w:rFonts w:ascii="Calibri" w:hAnsi="Calibri"/>
                <w:color w:val="000000"/>
                <w:sz w:val="20"/>
                <w:szCs w:val="20"/>
              </w:rPr>
              <w:t>ESPE-CRD BORDEAUX CAUDERAN</w:t>
            </w:r>
          </w:p>
        </w:tc>
        <w:tc>
          <w:tcPr>
            <w:tcW w:w="2186"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Univ. de Bordeaux</w:t>
            </w:r>
          </w:p>
        </w:tc>
        <w:tc>
          <w:tcPr>
            <w:tcW w:w="1254"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DSPEG</w:t>
            </w:r>
          </w:p>
        </w:tc>
        <w:tc>
          <w:tcPr>
            <w:tcW w:w="952"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1227</w:t>
            </w:r>
          </w:p>
        </w:tc>
        <w:tc>
          <w:tcPr>
            <w:tcW w:w="1685"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158</w:t>
            </w:r>
          </w:p>
        </w:tc>
      </w:tr>
      <w:tr w:rsidR="00C42DF9" w:rsidRPr="00C42DF9" w:rsidTr="00C42DF9">
        <w:trPr>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000000"/>
                <w:sz w:val="20"/>
                <w:szCs w:val="20"/>
              </w:rPr>
            </w:pPr>
            <w:r w:rsidRPr="00C42DF9">
              <w:rPr>
                <w:rFonts w:ascii="Calibri" w:hAnsi="Calibri"/>
                <w:color w:val="000000"/>
                <w:sz w:val="20"/>
                <w:szCs w:val="20"/>
              </w:rPr>
              <w:t>BU LETTRES</w:t>
            </w:r>
          </w:p>
        </w:tc>
        <w:tc>
          <w:tcPr>
            <w:tcW w:w="2186"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Univ. Bordeaux Montaigne</w:t>
            </w:r>
          </w:p>
        </w:tc>
        <w:tc>
          <w:tcPr>
            <w:tcW w:w="1254"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Bdx Montaigne</w:t>
            </w:r>
          </w:p>
        </w:tc>
        <w:tc>
          <w:tcPr>
            <w:tcW w:w="952"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15395</w:t>
            </w:r>
          </w:p>
        </w:tc>
        <w:tc>
          <w:tcPr>
            <w:tcW w:w="1685"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114</w:t>
            </w:r>
          </w:p>
        </w:tc>
      </w:tr>
      <w:tr w:rsidR="00C42DF9" w:rsidRPr="00C42DF9" w:rsidTr="00C42D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000000"/>
                <w:sz w:val="20"/>
                <w:szCs w:val="20"/>
              </w:rPr>
            </w:pPr>
            <w:r w:rsidRPr="00C42DF9">
              <w:rPr>
                <w:rFonts w:ascii="Calibri" w:hAnsi="Calibri"/>
                <w:color w:val="000000"/>
                <w:sz w:val="20"/>
                <w:szCs w:val="20"/>
              </w:rPr>
              <w:t>Bib. CEAN IEP</w:t>
            </w:r>
          </w:p>
        </w:tc>
        <w:tc>
          <w:tcPr>
            <w:tcW w:w="2186"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IEP</w:t>
            </w:r>
          </w:p>
        </w:tc>
        <w:tc>
          <w:tcPr>
            <w:tcW w:w="1254"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IEP</w:t>
            </w:r>
          </w:p>
        </w:tc>
        <w:tc>
          <w:tcPr>
            <w:tcW w:w="952"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5907</w:t>
            </w:r>
          </w:p>
        </w:tc>
        <w:tc>
          <w:tcPr>
            <w:tcW w:w="1685"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163</w:t>
            </w:r>
          </w:p>
        </w:tc>
      </w:tr>
      <w:tr w:rsidR="00C42DF9" w:rsidRPr="00C42DF9" w:rsidTr="00C42DF9">
        <w:trPr>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000000"/>
                <w:sz w:val="20"/>
                <w:szCs w:val="20"/>
              </w:rPr>
            </w:pPr>
            <w:r w:rsidRPr="00C42DF9">
              <w:rPr>
                <w:rFonts w:ascii="Calibri" w:hAnsi="Calibri"/>
                <w:color w:val="000000"/>
                <w:sz w:val="20"/>
                <w:szCs w:val="20"/>
              </w:rPr>
              <w:t>BIB. IEP</w:t>
            </w:r>
          </w:p>
        </w:tc>
        <w:tc>
          <w:tcPr>
            <w:tcW w:w="2186"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IEP</w:t>
            </w:r>
          </w:p>
        </w:tc>
        <w:tc>
          <w:tcPr>
            <w:tcW w:w="1254"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IEP</w:t>
            </w:r>
          </w:p>
        </w:tc>
        <w:tc>
          <w:tcPr>
            <w:tcW w:w="952"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10146</w:t>
            </w:r>
          </w:p>
        </w:tc>
        <w:tc>
          <w:tcPr>
            <w:tcW w:w="1685"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349</w:t>
            </w:r>
          </w:p>
        </w:tc>
      </w:tr>
      <w:tr w:rsidR="00C42DF9" w:rsidRPr="00C42DF9" w:rsidTr="00C42D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000000"/>
                <w:sz w:val="20"/>
                <w:szCs w:val="20"/>
              </w:rPr>
            </w:pPr>
            <w:r w:rsidRPr="00C42DF9">
              <w:rPr>
                <w:rFonts w:ascii="Calibri" w:hAnsi="Calibri"/>
                <w:color w:val="000000"/>
                <w:sz w:val="20"/>
                <w:szCs w:val="20"/>
              </w:rPr>
              <w:t>Bib. Centre E Durkheim</w:t>
            </w:r>
          </w:p>
        </w:tc>
        <w:tc>
          <w:tcPr>
            <w:tcW w:w="2186"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IEP</w:t>
            </w:r>
          </w:p>
        </w:tc>
        <w:tc>
          <w:tcPr>
            <w:tcW w:w="1254"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IEP</w:t>
            </w:r>
          </w:p>
        </w:tc>
        <w:tc>
          <w:tcPr>
            <w:tcW w:w="952"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9780</w:t>
            </w:r>
          </w:p>
        </w:tc>
        <w:tc>
          <w:tcPr>
            <w:tcW w:w="1685" w:type="dxa"/>
            <w:noWrap/>
            <w:hideMark/>
          </w:tcPr>
          <w:p w:rsidR="00C42DF9" w:rsidRPr="00C42DF9" w:rsidRDefault="00C42DF9" w:rsidP="00C42DF9">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1779</w:t>
            </w:r>
          </w:p>
        </w:tc>
      </w:tr>
      <w:tr w:rsidR="00C42DF9" w:rsidRPr="00C42DF9" w:rsidTr="00C42DF9">
        <w:trPr>
          <w:trHeight w:val="315"/>
        </w:trPr>
        <w:tc>
          <w:tcPr>
            <w:cnfStyle w:val="001000000000" w:firstRow="0" w:lastRow="0" w:firstColumn="1" w:lastColumn="0" w:oddVBand="0" w:evenVBand="0" w:oddHBand="0" w:evenHBand="0" w:firstRowFirstColumn="0" w:firstRowLastColumn="0" w:lastRowFirstColumn="0" w:lastRowLastColumn="0"/>
            <w:tcW w:w="3309" w:type="dxa"/>
            <w:noWrap/>
            <w:hideMark/>
          </w:tcPr>
          <w:p w:rsidR="00C42DF9" w:rsidRPr="00C42DF9" w:rsidRDefault="00C42DF9" w:rsidP="00C42DF9">
            <w:pPr>
              <w:jc w:val="left"/>
              <w:rPr>
                <w:rFonts w:ascii="Calibri" w:hAnsi="Calibri"/>
                <w:color w:val="000000"/>
                <w:sz w:val="20"/>
                <w:szCs w:val="20"/>
              </w:rPr>
            </w:pPr>
            <w:r w:rsidRPr="00C42DF9">
              <w:rPr>
                <w:rFonts w:ascii="Calibri" w:hAnsi="Calibri"/>
                <w:color w:val="000000"/>
                <w:sz w:val="20"/>
                <w:szCs w:val="20"/>
              </w:rPr>
              <w:t>Pas d'exemplaires</w:t>
            </w:r>
          </w:p>
        </w:tc>
        <w:tc>
          <w:tcPr>
            <w:tcW w:w="2186"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Aucun</w:t>
            </w:r>
          </w:p>
        </w:tc>
        <w:tc>
          <w:tcPr>
            <w:tcW w:w="1254"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Aucune</w:t>
            </w:r>
          </w:p>
        </w:tc>
        <w:tc>
          <w:tcPr>
            <w:tcW w:w="952"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4620</w:t>
            </w:r>
          </w:p>
        </w:tc>
        <w:tc>
          <w:tcPr>
            <w:tcW w:w="1685" w:type="dxa"/>
            <w:noWrap/>
            <w:hideMark/>
          </w:tcPr>
          <w:p w:rsidR="00C42DF9" w:rsidRPr="00C42DF9" w:rsidRDefault="00C42DF9" w:rsidP="00C42DF9">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42DF9">
              <w:rPr>
                <w:rFonts w:ascii="Calibri" w:hAnsi="Calibri"/>
                <w:color w:val="000000"/>
                <w:sz w:val="20"/>
                <w:szCs w:val="20"/>
              </w:rPr>
              <w:t>270</w:t>
            </w:r>
          </w:p>
        </w:tc>
      </w:tr>
    </w:tbl>
    <w:p w:rsidR="00C42DF9" w:rsidRDefault="00C42DF9" w:rsidP="00AB578C">
      <w:pPr>
        <w:rPr>
          <w:rFonts w:eastAsia="Arial Unicode MS"/>
          <w:u w:color="000000"/>
        </w:rPr>
      </w:pPr>
    </w:p>
    <w:p w:rsidR="00C42DF9" w:rsidRDefault="00C42DF9" w:rsidP="00AB578C">
      <w:pPr>
        <w:rPr>
          <w:rFonts w:eastAsia="Arial Unicode MS"/>
          <w:u w:color="000000"/>
        </w:rPr>
      </w:pPr>
      <w:r w:rsidRPr="00C42DF9">
        <w:rPr>
          <w:rFonts w:eastAsia="Arial Unicode MS"/>
          <w:u w:color="000000"/>
        </w:rPr>
        <w:t xml:space="preserve">Les notices pour lesquelles une </w:t>
      </w:r>
      <w:r w:rsidR="00ED2E78">
        <w:rPr>
          <w:rFonts w:eastAsia="Arial Unicode MS"/>
          <w:u w:color="000000"/>
        </w:rPr>
        <w:t>correspondan</w:t>
      </w:r>
      <w:r w:rsidR="00ED2E78" w:rsidRPr="00ED2E78">
        <w:rPr>
          <w:rFonts w:eastAsia="Arial Unicode MS"/>
          <w:u w:color="000000"/>
        </w:rPr>
        <w:t>ce</w:t>
      </w:r>
      <w:r w:rsidRPr="00C42DF9">
        <w:rPr>
          <w:rFonts w:eastAsia="Arial Unicode MS"/>
          <w:u w:color="000000"/>
        </w:rPr>
        <w:t xml:space="preserve"> </w:t>
      </w:r>
      <w:r>
        <w:rPr>
          <w:rFonts w:eastAsia="Arial Unicode MS"/>
          <w:u w:color="000000"/>
        </w:rPr>
        <w:t xml:space="preserve">a été trouvée dans le SUDOC et dont le PPN est déjà présent dans Horizon ne peuvent être traitées automatiquement et doivent être fusionnées </w:t>
      </w:r>
      <w:r w:rsidRPr="00F327D8">
        <w:rPr>
          <w:rFonts w:eastAsia="Arial Unicode MS"/>
          <w:b/>
          <w:u w:color="000000"/>
        </w:rPr>
        <w:t>manuellement</w:t>
      </w:r>
      <w:r>
        <w:rPr>
          <w:rFonts w:eastAsia="Arial Unicode MS"/>
          <w:u w:color="000000"/>
        </w:rPr>
        <w:t>.</w:t>
      </w:r>
    </w:p>
    <w:p w:rsidR="003B4FCF" w:rsidRDefault="00C42DF9" w:rsidP="00AB578C">
      <w:pPr>
        <w:pStyle w:val="UBx-titreniveau1"/>
      </w:pPr>
      <w:r>
        <w:t>Nettoyage</w:t>
      </w:r>
      <w:r w:rsidR="003B4FCF" w:rsidRPr="003B4FCF">
        <w:t xml:space="preserve"> </w:t>
      </w:r>
      <w:r w:rsidR="003F6B1A">
        <w:t xml:space="preserve">définitif </w:t>
      </w:r>
      <w:r w:rsidR="003B4FCF" w:rsidRPr="003B4FCF">
        <w:t>de la base</w:t>
      </w:r>
    </w:p>
    <w:p w:rsidR="003F6B1A" w:rsidRPr="00AA5818" w:rsidRDefault="003F6B1A" w:rsidP="00AB578C">
      <w:pPr>
        <w:rPr>
          <w:rFonts w:eastAsia="Arial Unicode MS"/>
          <w:b/>
          <w:u w:color="000000"/>
        </w:rPr>
      </w:pPr>
      <w:r w:rsidRPr="00AA5818">
        <w:rPr>
          <w:rFonts w:eastAsia="Arial Unicode MS"/>
          <w:b/>
          <w:u w:color="000000"/>
        </w:rPr>
        <w:t>A partir du 17/02/2017 le SCOO</w:t>
      </w:r>
      <w:r w:rsidR="00AA5818" w:rsidRPr="00AA5818">
        <w:rPr>
          <w:rFonts w:eastAsia="Arial Unicode MS"/>
          <w:b/>
          <w:u w:color="000000"/>
        </w:rPr>
        <w:t>P</w:t>
      </w:r>
      <w:r w:rsidRPr="00AA5818">
        <w:rPr>
          <w:rFonts w:eastAsia="Arial Unicode MS"/>
          <w:b/>
          <w:u w:color="000000"/>
        </w:rPr>
        <w:t> :</w:t>
      </w:r>
    </w:p>
    <w:p w:rsidR="003F6B1A" w:rsidRDefault="003F6B1A" w:rsidP="003F6B1A">
      <w:pPr>
        <w:pStyle w:val="Paragraphedeliste"/>
        <w:numPr>
          <w:ilvl w:val="0"/>
          <w:numId w:val="5"/>
        </w:numPr>
        <w:rPr>
          <w:rFonts w:eastAsia="Arial Unicode MS"/>
          <w:u w:color="000000"/>
        </w:rPr>
      </w:pPr>
      <w:r w:rsidRPr="00AA5818">
        <w:rPr>
          <w:rFonts w:eastAsia="Arial Unicode MS"/>
          <w:b/>
          <w:u w:color="000000"/>
        </w:rPr>
        <w:t>Supprimera</w:t>
      </w:r>
      <w:r>
        <w:rPr>
          <w:rFonts w:eastAsia="Arial Unicode MS"/>
          <w:u w:color="000000"/>
        </w:rPr>
        <w:t xml:space="preserve"> la totalité des notices locales qui n’ont pas été traitées : les établissements qui le souhaitent pourront obtenir une sauvegarde des notices au format </w:t>
      </w:r>
      <w:r w:rsidR="005752A9">
        <w:rPr>
          <w:rFonts w:eastAsia="Arial Unicode MS"/>
          <w:u w:color="000000"/>
        </w:rPr>
        <w:t>Excel</w:t>
      </w:r>
      <w:r>
        <w:rPr>
          <w:rFonts w:eastAsia="Arial Unicode MS"/>
          <w:u w:color="000000"/>
        </w:rPr>
        <w:t xml:space="preserve"> </w:t>
      </w:r>
      <w:r w:rsidR="00AA5818">
        <w:rPr>
          <w:rFonts w:eastAsia="Arial Unicode MS"/>
          <w:u w:color="000000"/>
        </w:rPr>
        <w:t>ou UNIMARC.</w:t>
      </w:r>
    </w:p>
    <w:p w:rsidR="00AA5818" w:rsidRPr="003F6B1A" w:rsidRDefault="00AA5818" w:rsidP="003F6B1A">
      <w:pPr>
        <w:pStyle w:val="Paragraphedeliste"/>
        <w:numPr>
          <w:ilvl w:val="0"/>
          <w:numId w:val="5"/>
        </w:numPr>
        <w:rPr>
          <w:rFonts w:eastAsia="Arial Unicode MS"/>
          <w:u w:color="000000"/>
        </w:rPr>
      </w:pPr>
      <w:r>
        <w:rPr>
          <w:rFonts w:eastAsia="Arial Unicode MS"/>
          <w:u w:color="000000"/>
        </w:rPr>
        <w:t xml:space="preserve">Résoudra automatiquement les anomalies de synchronisation SUDOC/Horizon par </w:t>
      </w:r>
      <w:r w:rsidRPr="00AA5818">
        <w:rPr>
          <w:rFonts w:eastAsia="Arial Unicode MS"/>
          <w:b/>
          <w:u w:color="000000"/>
        </w:rPr>
        <w:t>suppression des exemplaires et notices concernées dans Horizon</w:t>
      </w:r>
      <w:r>
        <w:rPr>
          <w:rFonts w:eastAsia="Arial Unicode MS"/>
          <w:b/>
          <w:u w:color="000000"/>
        </w:rPr>
        <w:t xml:space="preserve"> </w:t>
      </w:r>
      <w:r>
        <w:rPr>
          <w:rFonts w:eastAsia="Arial Unicode MS"/>
          <w:u w:color="000000"/>
        </w:rPr>
        <w:t>ou par demande de localisations SUDOC.</w:t>
      </w:r>
    </w:p>
    <w:p w:rsidR="00AA5818" w:rsidRDefault="00AA5818" w:rsidP="00AB578C">
      <w:pPr>
        <w:rPr>
          <w:rFonts w:eastAsia="Arial Unicode MS"/>
          <w:u w:color="000000"/>
        </w:rPr>
      </w:pPr>
      <w:r>
        <w:rPr>
          <w:rFonts w:eastAsia="Arial Unicode MS"/>
          <w:u w:color="000000"/>
        </w:rPr>
        <w:t xml:space="preserve">Cette opération se déroulera jusqu’au 11/03 et nécessite que la base soit arrêtée. Autrement dit </w:t>
      </w:r>
      <w:r w:rsidRPr="00AA5818">
        <w:rPr>
          <w:rFonts w:eastAsia="Arial Unicode MS"/>
          <w:b/>
          <w:u w:color="000000"/>
        </w:rPr>
        <w:t>aucune</w:t>
      </w:r>
      <w:r>
        <w:rPr>
          <w:rFonts w:eastAsia="Arial Unicode MS"/>
          <w:u w:color="000000"/>
        </w:rPr>
        <w:t xml:space="preserve"> modification/création/suppression de notices ou d’exemplaire devra être réalisée dans Horizon et dans le SUDOC durant la période</w:t>
      </w:r>
      <w:r w:rsidR="005752A9">
        <w:rPr>
          <w:rFonts w:eastAsia="Arial Unicode MS"/>
          <w:u w:color="000000"/>
        </w:rPr>
        <w:t>. Les transferts réguliers seront arrêtés.</w:t>
      </w:r>
      <w:r>
        <w:rPr>
          <w:rFonts w:eastAsia="Arial Unicode MS"/>
          <w:u w:color="000000"/>
        </w:rPr>
        <w:t xml:space="preserve"> </w:t>
      </w:r>
    </w:p>
    <w:p w:rsidR="00AA5818" w:rsidRDefault="00AA5818" w:rsidP="00AB578C">
      <w:pPr>
        <w:rPr>
          <w:rFonts w:eastAsia="Arial Unicode MS"/>
          <w:u w:color="000000"/>
        </w:rPr>
      </w:pPr>
    </w:p>
    <w:p w:rsidR="00AA5818" w:rsidRDefault="00AA5818" w:rsidP="00AB578C">
      <w:pPr>
        <w:rPr>
          <w:rFonts w:eastAsia="Arial Unicode MS"/>
          <w:u w:color="000000"/>
        </w:rPr>
      </w:pPr>
      <w:r>
        <w:rPr>
          <w:rFonts w:eastAsia="Arial Unicode MS"/>
          <w:u w:color="000000"/>
        </w:rPr>
        <w:t xml:space="preserve">Bien avant cette date les collègues sont invités à </w:t>
      </w:r>
      <w:r w:rsidRPr="00ED2E78">
        <w:rPr>
          <w:rFonts w:eastAsia="Arial Unicode MS"/>
          <w:u w:color="000000"/>
        </w:rPr>
        <w:t>signaler</w:t>
      </w:r>
      <w:r w:rsidR="00F327D8" w:rsidRPr="00ED2E78">
        <w:rPr>
          <w:rFonts w:eastAsia="Arial Unicode MS"/>
          <w:u w:color="000000"/>
        </w:rPr>
        <w:t xml:space="preserve"> par ticket GLPI</w:t>
      </w:r>
      <w:r w:rsidRPr="00ED2E78">
        <w:rPr>
          <w:rFonts w:eastAsia="Arial Unicode MS"/>
          <w:u w:color="000000"/>
        </w:rPr>
        <w:t xml:space="preserve"> </w:t>
      </w:r>
      <w:r>
        <w:rPr>
          <w:rFonts w:eastAsia="Arial Unicode MS"/>
          <w:u w:color="000000"/>
        </w:rPr>
        <w:t xml:space="preserve">au SCOOP les collections locales pouvant être supprimées. </w:t>
      </w:r>
    </w:p>
    <w:p w:rsidR="00E5059A" w:rsidRDefault="00E5059A" w:rsidP="00AB578C">
      <w:pPr>
        <w:rPr>
          <w:rFonts w:eastAsia="Arial Unicode MS"/>
          <w:u w:color="000000"/>
        </w:rPr>
      </w:pPr>
    </w:p>
    <w:p w:rsidR="003B4FCF" w:rsidRDefault="003B4FCF" w:rsidP="00AB578C">
      <w:pPr>
        <w:rPr>
          <w:rFonts w:eastAsia="Arial Unicode MS"/>
          <w:u w:color="000000"/>
        </w:rPr>
      </w:pPr>
      <w:r>
        <w:rPr>
          <w:rFonts w:eastAsia="Arial Unicode MS"/>
          <w:u w:color="000000"/>
        </w:rPr>
        <w:t xml:space="preserve">Il </w:t>
      </w:r>
      <w:r w:rsidR="00AA5818">
        <w:rPr>
          <w:rFonts w:eastAsia="Arial Unicode MS"/>
          <w:u w:color="000000"/>
        </w:rPr>
        <w:t xml:space="preserve">leur </w:t>
      </w:r>
      <w:r>
        <w:rPr>
          <w:rFonts w:eastAsia="Arial Unicode MS"/>
          <w:u w:color="000000"/>
        </w:rPr>
        <w:t xml:space="preserve">est </w:t>
      </w:r>
      <w:r w:rsidR="00AA5818">
        <w:rPr>
          <w:rFonts w:eastAsia="Arial Unicode MS"/>
          <w:u w:color="000000"/>
        </w:rPr>
        <w:t xml:space="preserve">aussi </w:t>
      </w:r>
      <w:r>
        <w:rPr>
          <w:rFonts w:eastAsia="Arial Unicode MS"/>
          <w:u w:color="000000"/>
        </w:rPr>
        <w:t>demandé de fournir les listes de notices décrivant autre chose qu’un document (notice</w:t>
      </w:r>
      <w:r w:rsidR="00361FDC">
        <w:rPr>
          <w:rFonts w:eastAsia="Arial Unicode MS"/>
          <w:u w:color="000000"/>
        </w:rPr>
        <w:t>s</w:t>
      </w:r>
      <w:r>
        <w:rPr>
          <w:rFonts w:eastAsia="Arial Unicode MS"/>
          <w:u w:color="000000"/>
        </w:rPr>
        <w:t xml:space="preserve"> de matériel, de PEB etc.)</w:t>
      </w:r>
    </w:p>
    <w:p w:rsidR="003B4FCF" w:rsidRDefault="003B4FCF" w:rsidP="00AB578C">
      <w:pPr>
        <w:rPr>
          <w:rFonts w:eastAsia="Arial Unicode MS"/>
          <w:u w:color="000000"/>
        </w:rPr>
      </w:pPr>
    </w:p>
    <w:p w:rsidR="000D3D4B" w:rsidRPr="00E5059A" w:rsidRDefault="000D3D4B" w:rsidP="00AB578C"/>
    <w:tbl>
      <w:tblPr>
        <w:tblW w:w="10064" w:type="dxa"/>
        <w:tblInd w:w="250" w:type="dxa"/>
        <w:tblLayout w:type="fixed"/>
        <w:tblLook w:val="01E0" w:firstRow="1" w:lastRow="1" w:firstColumn="1" w:lastColumn="1" w:noHBand="0" w:noVBand="0"/>
      </w:tblPr>
      <w:tblGrid>
        <w:gridCol w:w="10064"/>
      </w:tblGrid>
      <w:tr w:rsidR="001E5523" w:rsidRPr="00C02811" w:rsidTr="00FE29C5">
        <w:trPr>
          <w:trHeight w:val="1155"/>
        </w:trPr>
        <w:tc>
          <w:tcPr>
            <w:tcW w:w="10064" w:type="dxa"/>
            <w:tcBorders>
              <w:top w:val="single" w:sz="4" w:space="0" w:color="auto"/>
              <w:left w:val="single" w:sz="4" w:space="0" w:color="auto"/>
              <w:bottom w:val="single" w:sz="4" w:space="0" w:color="auto"/>
              <w:right w:val="single" w:sz="4" w:space="0" w:color="auto"/>
            </w:tcBorders>
            <w:shd w:val="clear" w:color="auto" w:fill="auto"/>
          </w:tcPr>
          <w:p w:rsidR="00BD7AAA" w:rsidRPr="00C02811" w:rsidRDefault="00BD7AAA" w:rsidP="00AB578C"/>
          <w:p w:rsidR="00E5059A" w:rsidRDefault="001E5523" w:rsidP="00AB578C">
            <w:r w:rsidRPr="00C02811">
              <w:t>Prochaine réunion</w:t>
            </w:r>
            <w:r w:rsidR="00E5059A">
              <w:t xml:space="preserve"> : </w:t>
            </w:r>
          </w:p>
          <w:p w:rsidR="00E5059A" w:rsidRPr="00C02811" w:rsidRDefault="00E5059A" w:rsidP="00AB578C">
            <w:r>
              <w:t xml:space="preserve">Actions : </w:t>
            </w:r>
            <w:r w:rsidR="001E5523" w:rsidRPr="00C02811">
              <w:t xml:space="preserve"> </w:t>
            </w:r>
          </w:p>
          <w:p w:rsidR="00A707D3" w:rsidRPr="00C02811" w:rsidRDefault="00A707D3" w:rsidP="00AB578C"/>
        </w:tc>
      </w:tr>
    </w:tbl>
    <w:p w:rsidR="00E70F82" w:rsidRPr="00C02811" w:rsidRDefault="00E70F82" w:rsidP="00AB578C">
      <w:pPr>
        <w:pStyle w:val="UBx-corpsdetexte"/>
      </w:pPr>
    </w:p>
    <w:sectPr w:rsidR="00E70F82" w:rsidRPr="00C02811" w:rsidSect="00E5059A">
      <w:pgSz w:w="11906" w:h="16838" w:code="9"/>
      <w:pgMar w:top="2947" w:right="707" w:bottom="1701" w:left="709" w:header="57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C9" w:rsidRDefault="00F615C9" w:rsidP="00AB578C">
      <w:r>
        <w:separator/>
      </w:r>
    </w:p>
  </w:endnote>
  <w:endnote w:type="continuationSeparator" w:id="0">
    <w:p w:rsidR="00F615C9" w:rsidRDefault="00F615C9" w:rsidP="00AB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6" w:rsidRDefault="006819B6" w:rsidP="00AB57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6" w:rsidRPr="00532B88" w:rsidRDefault="006819B6" w:rsidP="00AB578C">
    <w:pPr>
      <w:pStyle w:val="Pieddepage"/>
    </w:pPr>
    <w:r>
      <w:rPr>
        <w:noProof/>
      </w:rPr>
      <w:drawing>
        <wp:anchor distT="0" distB="0" distL="114300" distR="114300" simplePos="0" relativeHeight="251663359" behindDoc="1" locked="0" layoutInCell="1" allowOverlap="1">
          <wp:simplePos x="0" y="0"/>
          <wp:positionH relativeFrom="column">
            <wp:posOffset>-2540</wp:posOffset>
          </wp:positionH>
          <wp:positionV relativeFrom="paragraph">
            <wp:posOffset>-215265</wp:posOffset>
          </wp:positionV>
          <wp:extent cx="6661150" cy="741045"/>
          <wp:effectExtent l="0" t="0" r="635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6_logoGlReBUB_SBerth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1150" cy="7410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E46D263" wp14:editId="3E02050B">
              <wp:simplePos x="0" y="0"/>
              <wp:positionH relativeFrom="page">
                <wp:posOffset>6661150</wp:posOffset>
              </wp:positionH>
              <wp:positionV relativeFrom="page">
                <wp:posOffset>10206990</wp:posOffset>
              </wp:positionV>
              <wp:extent cx="520700" cy="504825"/>
              <wp:effectExtent l="3175" t="0" r="0" b="381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9B6" w:rsidRPr="004A79C9" w:rsidRDefault="006819B6" w:rsidP="00AB578C">
                          <w:r w:rsidRPr="004A79C9">
                            <w:fldChar w:fldCharType="begin"/>
                          </w:r>
                          <w:r w:rsidRPr="004A79C9">
                            <w:instrText>PAGE   \* MERGEFORMAT</w:instrText>
                          </w:r>
                          <w:r w:rsidRPr="004A79C9">
                            <w:fldChar w:fldCharType="separate"/>
                          </w:r>
                          <w:r w:rsidR="00ED2E78">
                            <w:rPr>
                              <w:noProof/>
                            </w:rPr>
                            <w:t>4</w:t>
                          </w:r>
                          <w:r w:rsidRPr="004A79C9">
                            <w:fldChar w:fldCharType="end"/>
                          </w:r>
                          <w:r w:rsidRPr="004A79C9">
                            <w:t>/</w:t>
                          </w:r>
                          <w:r w:rsidR="00ED2E78">
                            <w:fldChar w:fldCharType="begin"/>
                          </w:r>
                          <w:r w:rsidR="00ED2E78">
                            <w:instrText xml:space="preserve"> NUMPAGES   \* MERGEFORMAT </w:instrText>
                          </w:r>
                          <w:r w:rsidR="00ED2E78">
                            <w:fldChar w:fldCharType="separate"/>
                          </w:r>
                          <w:r w:rsidR="00ED2E78">
                            <w:rPr>
                              <w:noProof/>
                            </w:rPr>
                            <w:t>11</w:t>
                          </w:r>
                          <w:r w:rsidR="00ED2E78">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6D263" id="_x0000_t202" coordsize="21600,21600" o:spt="202" path="m,l,21600r21600,l21600,xe">
              <v:stroke joinstyle="miter"/>
              <v:path gradientshapeok="t" o:connecttype="rect"/>
            </v:shapetype>
            <v:shape id="Zone de texte 7" o:spid="_x0000_s1026" type="#_x0000_t202" style="position:absolute;left:0;text-align:left;margin-left:524.5pt;margin-top:803.7pt;width:41pt;height:3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" filled="f" stroked="f">
              <v:textbox>
                <w:txbxContent>
                  <w:p w:rsidR="006819B6" w:rsidRPr="004A79C9" w:rsidRDefault="006819B6" w:rsidP="00AB578C">
                    <w:r w:rsidRPr="004A79C9">
                      <w:fldChar w:fldCharType="begin"/>
                    </w:r>
                    <w:r w:rsidRPr="004A79C9">
                      <w:instrText>PAGE   \* MERGEFORMAT</w:instrText>
                    </w:r>
                    <w:r w:rsidRPr="004A79C9">
                      <w:fldChar w:fldCharType="separate"/>
                    </w:r>
                    <w:r w:rsidR="00ED2E78">
                      <w:rPr>
                        <w:noProof/>
                      </w:rPr>
                      <w:t>4</w:t>
                    </w:r>
                    <w:r w:rsidRPr="004A79C9">
                      <w:fldChar w:fldCharType="end"/>
                    </w:r>
                    <w:r w:rsidRPr="004A79C9">
                      <w:t>/</w:t>
                    </w:r>
                    <w:r w:rsidR="00ED2E78">
                      <w:fldChar w:fldCharType="begin"/>
                    </w:r>
                    <w:r w:rsidR="00ED2E78">
                      <w:instrText xml:space="preserve"> NUMPAGES   \* MERGEFORMAT </w:instrText>
                    </w:r>
                    <w:r w:rsidR="00ED2E78">
                      <w:fldChar w:fldCharType="separate"/>
                    </w:r>
                    <w:r w:rsidR="00ED2E78">
                      <w:rPr>
                        <w:noProof/>
                      </w:rPr>
                      <w:t>11</w:t>
                    </w:r>
                    <w:r w:rsidR="00ED2E78">
                      <w:rPr>
                        <w:noProof/>
                      </w:rPr>
                      <w:fldChar w:fldCharType="end"/>
                    </w:r>
                  </w:p>
                </w:txbxContent>
              </v:textbox>
              <w10:wrap anchorx="page" anchory="page"/>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6" w:rsidRPr="00956783" w:rsidRDefault="006819B6" w:rsidP="00AB578C">
    <w:pPr>
      <w:pStyle w:val="Pieddepage"/>
    </w:pPr>
    <w:r>
      <w:rPr>
        <w:noProof/>
      </w:rPr>
      <w:drawing>
        <wp:anchor distT="0" distB="0" distL="114300" distR="114300" simplePos="0" relativeHeight="251673600" behindDoc="1" locked="0" layoutInCell="1" allowOverlap="1">
          <wp:simplePos x="0" y="0"/>
          <wp:positionH relativeFrom="column">
            <wp:posOffset>-2540</wp:posOffset>
          </wp:positionH>
          <wp:positionV relativeFrom="paragraph">
            <wp:posOffset>-224790</wp:posOffset>
          </wp:positionV>
          <wp:extent cx="6661150" cy="741045"/>
          <wp:effectExtent l="0" t="0" r="6350"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6_logoGlReBUB_SBerth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1150" cy="7410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C9" w:rsidRDefault="00F615C9" w:rsidP="00AB578C">
      <w:r>
        <w:separator/>
      </w:r>
    </w:p>
  </w:footnote>
  <w:footnote w:type="continuationSeparator" w:id="0">
    <w:p w:rsidR="00F615C9" w:rsidRDefault="00F615C9" w:rsidP="00AB5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6" w:rsidRDefault="006819B6" w:rsidP="00AB57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6" w:rsidRDefault="006819B6" w:rsidP="00AB578C">
    <w:pPr>
      <w:pStyle w:val="En-tte"/>
    </w:pPr>
  </w:p>
  <w:p w:rsidR="006819B6" w:rsidRDefault="006819B6" w:rsidP="00AB578C">
    <w:pPr>
      <w:pStyle w:val="En-tte"/>
    </w:pPr>
  </w:p>
  <w:p w:rsidR="006819B6" w:rsidRDefault="006819B6" w:rsidP="00AB57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6" w:rsidRDefault="006819B6" w:rsidP="00AB578C">
    <w:r>
      <w:rPr>
        <w:rFonts w:ascii="Times New Roman" w:hAnsi="Times New Roman"/>
        <w:noProof/>
        <w:szCs w:val="20"/>
      </w:rPr>
      <w:drawing>
        <wp:anchor distT="0" distB="0" distL="114300" distR="114300" simplePos="0" relativeHeight="251670528" behindDoc="0" locked="0" layoutInCell="1" allowOverlap="1" wp14:anchorId="1C789F44" wp14:editId="5A82BC28">
          <wp:simplePos x="0" y="0"/>
          <wp:positionH relativeFrom="page">
            <wp:posOffset>3989070</wp:posOffset>
          </wp:positionH>
          <wp:positionV relativeFrom="page">
            <wp:posOffset>779145</wp:posOffset>
          </wp:positionV>
          <wp:extent cx="2213610" cy="38481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e rendu.png"/>
                  <pic:cNvPicPr/>
                </pic:nvPicPr>
                <pic:blipFill>
                  <a:blip r:embed="rId1">
                    <a:extLst>
                      <a:ext uri="{28A0092B-C50C-407E-A947-70E740481C1C}">
                        <a14:useLocalDpi xmlns:a14="http://schemas.microsoft.com/office/drawing/2010/main" val="0"/>
                      </a:ext>
                    </a:extLst>
                  </a:blip>
                  <a:stretch>
                    <a:fillRect/>
                  </a:stretch>
                </pic:blipFill>
                <pic:spPr>
                  <a:xfrm>
                    <a:off x="0" y="0"/>
                    <a:ext cx="2213610" cy="384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CE5A11E" wp14:editId="40630026">
          <wp:simplePos x="0" y="0"/>
          <wp:positionH relativeFrom="page">
            <wp:posOffset>180340</wp:posOffset>
          </wp:positionH>
          <wp:positionV relativeFrom="page">
            <wp:posOffset>180340</wp:posOffset>
          </wp:positionV>
          <wp:extent cx="2898000" cy="1162609"/>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 Bordeaux RVB-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8000" cy="11626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AE143A7"/>
    <w:multiLevelType w:val="hybridMultilevel"/>
    <w:tmpl w:val="64545722"/>
    <w:lvl w:ilvl="0" w:tplc="040C0001">
      <w:start w:val="1"/>
      <w:numFmt w:val="bullet"/>
      <w:lvlText w:val=""/>
      <w:lvlJc w:val="left"/>
      <w:pPr>
        <w:ind w:left="787" w:hanging="360"/>
      </w:pPr>
      <w:rPr>
        <w:rFonts w:ascii="Symbol" w:hAnsi="Symbol" w:hint="default"/>
      </w:rPr>
    </w:lvl>
    <w:lvl w:ilvl="1" w:tplc="040C0003">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
    <w:nsid w:val="60DF1857"/>
    <w:multiLevelType w:val="multilevel"/>
    <w:tmpl w:val="B442FB28"/>
    <w:lvl w:ilvl="0">
      <w:start w:val="1"/>
      <w:numFmt w:val="none"/>
      <w:pStyle w:val="Ubx-titreniveau2"/>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E2477CC"/>
    <w:multiLevelType w:val="hybridMultilevel"/>
    <w:tmpl w:val="C6043B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C9"/>
    <w:rsid w:val="000029C2"/>
    <w:rsid w:val="0000366C"/>
    <w:rsid w:val="00006698"/>
    <w:rsid w:val="000117A9"/>
    <w:rsid w:val="00013FD2"/>
    <w:rsid w:val="00022115"/>
    <w:rsid w:val="000222F0"/>
    <w:rsid w:val="00024833"/>
    <w:rsid w:val="00024A40"/>
    <w:rsid w:val="00030878"/>
    <w:rsid w:val="00032E50"/>
    <w:rsid w:val="00033453"/>
    <w:rsid w:val="000427DE"/>
    <w:rsid w:val="000428B5"/>
    <w:rsid w:val="00042FD7"/>
    <w:rsid w:val="00043233"/>
    <w:rsid w:val="000449EE"/>
    <w:rsid w:val="000510D0"/>
    <w:rsid w:val="00051490"/>
    <w:rsid w:val="00051575"/>
    <w:rsid w:val="0005341C"/>
    <w:rsid w:val="000700F3"/>
    <w:rsid w:val="0007473C"/>
    <w:rsid w:val="00074814"/>
    <w:rsid w:val="000764E8"/>
    <w:rsid w:val="0007657B"/>
    <w:rsid w:val="0007770D"/>
    <w:rsid w:val="0008046D"/>
    <w:rsid w:val="00080FB6"/>
    <w:rsid w:val="00084038"/>
    <w:rsid w:val="000854ED"/>
    <w:rsid w:val="00085ECF"/>
    <w:rsid w:val="000866CC"/>
    <w:rsid w:val="000875BB"/>
    <w:rsid w:val="00093E9B"/>
    <w:rsid w:val="00094816"/>
    <w:rsid w:val="0009492B"/>
    <w:rsid w:val="00095AAF"/>
    <w:rsid w:val="00097084"/>
    <w:rsid w:val="000A0ED9"/>
    <w:rsid w:val="000A12D1"/>
    <w:rsid w:val="000A14D5"/>
    <w:rsid w:val="000A3DEC"/>
    <w:rsid w:val="000A5CC3"/>
    <w:rsid w:val="000B15BA"/>
    <w:rsid w:val="000B2120"/>
    <w:rsid w:val="000B3116"/>
    <w:rsid w:val="000B3250"/>
    <w:rsid w:val="000B44C8"/>
    <w:rsid w:val="000B6D61"/>
    <w:rsid w:val="000B75C6"/>
    <w:rsid w:val="000D1183"/>
    <w:rsid w:val="000D14A1"/>
    <w:rsid w:val="000D2B8B"/>
    <w:rsid w:val="000D3D4B"/>
    <w:rsid w:val="000D44B1"/>
    <w:rsid w:val="000D4F53"/>
    <w:rsid w:val="000E15CB"/>
    <w:rsid w:val="000E3443"/>
    <w:rsid w:val="000E52E9"/>
    <w:rsid w:val="000E6961"/>
    <w:rsid w:val="000E7DB2"/>
    <w:rsid w:val="000F0017"/>
    <w:rsid w:val="000F5569"/>
    <w:rsid w:val="000F5979"/>
    <w:rsid w:val="00100096"/>
    <w:rsid w:val="0010061E"/>
    <w:rsid w:val="00102256"/>
    <w:rsid w:val="00102EF9"/>
    <w:rsid w:val="00103107"/>
    <w:rsid w:val="0010796E"/>
    <w:rsid w:val="00111DAF"/>
    <w:rsid w:val="0011686F"/>
    <w:rsid w:val="0011747F"/>
    <w:rsid w:val="00120EF8"/>
    <w:rsid w:val="00121227"/>
    <w:rsid w:val="001225E7"/>
    <w:rsid w:val="00123A90"/>
    <w:rsid w:val="001264A7"/>
    <w:rsid w:val="0012677F"/>
    <w:rsid w:val="001269E3"/>
    <w:rsid w:val="00130970"/>
    <w:rsid w:val="00132113"/>
    <w:rsid w:val="00133185"/>
    <w:rsid w:val="00135EF0"/>
    <w:rsid w:val="001501C4"/>
    <w:rsid w:val="00157C81"/>
    <w:rsid w:val="001614E9"/>
    <w:rsid w:val="001629A9"/>
    <w:rsid w:val="001670C1"/>
    <w:rsid w:val="0017308A"/>
    <w:rsid w:val="001776E2"/>
    <w:rsid w:val="00180E98"/>
    <w:rsid w:val="001833E3"/>
    <w:rsid w:val="0018447F"/>
    <w:rsid w:val="00184962"/>
    <w:rsid w:val="00184EE2"/>
    <w:rsid w:val="001934CE"/>
    <w:rsid w:val="00193B46"/>
    <w:rsid w:val="00196131"/>
    <w:rsid w:val="001A0953"/>
    <w:rsid w:val="001A3B51"/>
    <w:rsid w:val="001A3DF8"/>
    <w:rsid w:val="001A7D73"/>
    <w:rsid w:val="001B0946"/>
    <w:rsid w:val="001B125B"/>
    <w:rsid w:val="001B2AC8"/>
    <w:rsid w:val="001B2CA3"/>
    <w:rsid w:val="001B603E"/>
    <w:rsid w:val="001C0FE4"/>
    <w:rsid w:val="001C379E"/>
    <w:rsid w:val="001C41FB"/>
    <w:rsid w:val="001C4812"/>
    <w:rsid w:val="001C50FB"/>
    <w:rsid w:val="001C6B1E"/>
    <w:rsid w:val="001C6DBC"/>
    <w:rsid w:val="001D2000"/>
    <w:rsid w:val="001D279B"/>
    <w:rsid w:val="001D3C92"/>
    <w:rsid w:val="001D4613"/>
    <w:rsid w:val="001D4C26"/>
    <w:rsid w:val="001D52F1"/>
    <w:rsid w:val="001E2101"/>
    <w:rsid w:val="001E244D"/>
    <w:rsid w:val="001E3D60"/>
    <w:rsid w:val="001E5523"/>
    <w:rsid w:val="001E5B26"/>
    <w:rsid w:val="001F2B2B"/>
    <w:rsid w:val="001F2CCB"/>
    <w:rsid w:val="001F3117"/>
    <w:rsid w:val="001F6348"/>
    <w:rsid w:val="002001CA"/>
    <w:rsid w:val="00200729"/>
    <w:rsid w:val="0020095C"/>
    <w:rsid w:val="00203595"/>
    <w:rsid w:val="00205361"/>
    <w:rsid w:val="00205DB0"/>
    <w:rsid w:val="0020799C"/>
    <w:rsid w:val="002114DA"/>
    <w:rsid w:val="00215CB9"/>
    <w:rsid w:val="00215D66"/>
    <w:rsid w:val="00224E9A"/>
    <w:rsid w:val="0023011E"/>
    <w:rsid w:val="002309F2"/>
    <w:rsid w:val="0023102C"/>
    <w:rsid w:val="00234A59"/>
    <w:rsid w:val="00234CCE"/>
    <w:rsid w:val="00236362"/>
    <w:rsid w:val="002364C0"/>
    <w:rsid w:val="00251C5B"/>
    <w:rsid w:val="0025421C"/>
    <w:rsid w:val="0025488F"/>
    <w:rsid w:val="00256CD0"/>
    <w:rsid w:val="00256FCA"/>
    <w:rsid w:val="002600AA"/>
    <w:rsid w:val="002616FD"/>
    <w:rsid w:val="002623CB"/>
    <w:rsid w:val="00263D99"/>
    <w:rsid w:val="002652A9"/>
    <w:rsid w:val="00266E5E"/>
    <w:rsid w:val="00267F10"/>
    <w:rsid w:val="00275AA5"/>
    <w:rsid w:val="00276A8D"/>
    <w:rsid w:val="00276B30"/>
    <w:rsid w:val="00276E38"/>
    <w:rsid w:val="002778EB"/>
    <w:rsid w:val="002801AB"/>
    <w:rsid w:val="00280DD7"/>
    <w:rsid w:val="00281406"/>
    <w:rsid w:val="00282358"/>
    <w:rsid w:val="002846FC"/>
    <w:rsid w:val="00285968"/>
    <w:rsid w:val="002915E8"/>
    <w:rsid w:val="00292DCC"/>
    <w:rsid w:val="002947B6"/>
    <w:rsid w:val="002969E6"/>
    <w:rsid w:val="00297F52"/>
    <w:rsid w:val="002A2370"/>
    <w:rsid w:val="002A2C12"/>
    <w:rsid w:val="002A2C60"/>
    <w:rsid w:val="002A438C"/>
    <w:rsid w:val="002A52E8"/>
    <w:rsid w:val="002A7532"/>
    <w:rsid w:val="002B4267"/>
    <w:rsid w:val="002B480F"/>
    <w:rsid w:val="002B4F8D"/>
    <w:rsid w:val="002C32AA"/>
    <w:rsid w:val="002C3C7F"/>
    <w:rsid w:val="002C4215"/>
    <w:rsid w:val="002C527B"/>
    <w:rsid w:val="002C5FF2"/>
    <w:rsid w:val="002D0903"/>
    <w:rsid w:val="002D437E"/>
    <w:rsid w:val="002D5556"/>
    <w:rsid w:val="002D670B"/>
    <w:rsid w:val="002D7B20"/>
    <w:rsid w:val="002E72EB"/>
    <w:rsid w:val="002F0352"/>
    <w:rsid w:val="002F0B8B"/>
    <w:rsid w:val="002F1E0D"/>
    <w:rsid w:val="002F370F"/>
    <w:rsid w:val="002F4CAB"/>
    <w:rsid w:val="002F5EDB"/>
    <w:rsid w:val="002F7880"/>
    <w:rsid w:val="003030E0"/>
    <w:rsid w:val="00307A27"/>
    <w:rsid w:val="00314A71"/>
    <w:rsid w:val="00316BBB"/>
    <w:rsid w:val="00317CC4"/>
    <w:rsid w:val="00325156"/>
    <w:rsid w:val="00325C68"/>
    <w:rsid w:val="00327BC6"/>
    <w:rsid w:val="00330F8B"/>
    <w:rsid w:val="0033258F"/>
    <w:rsid w:val="00336CDA"/>
    <w:rsid w:val="00337068"/>
    <w:rsid w:val="00337AEF"/>
    <w:rsid w:val="00342678"/>
    <w:rsid w:val="003449D4"/>
    <w:rsid w:val="0034538E"/>
    <w:rsid w:val="00345ED9"/>
    <w:rsid w:val="00346C3B"/>
    <w:rsid w:val="00347183"/>
    <w:rsid w:val="00351D13"/>
    <w:rsid w:val="00352453"/>
    <w:rsid w:val="00352639"/>
    <w:rsid w:val="00354333"/>
    <w:rsid w:val="00361FDC"/>
    <w:rsid w:val="00362557"/>
    <w:rsid w:val="00363C6E"/>
    <w:rsid w:val="00364E4D"/>
    <w:rsid w:val="003651F0"/>
    <w:rsid w:val="00367143"/>
    <w:rsid w:val="0037140F"/>
    <w:rsid w:val="00373DE4"/>
    <w:rsid w:val="00376E68"/>
    <w:rsid w:val="00377AD5"/>
    <w:rsid w:val="00380068"/>
    <w:rsid w:val="00382FA6"/>
    <w:rsid w:val="003835BD"/>
    <w:rsid w:val="00390600"/>
    <w:rsid w:val="00390A0A"/>
    <w:rsid w:val="00391F13"/>
    <w:rsid w:val="00396171"/>
    <w:rsid w:val="003A21DC"/>
    <w:rsid w:val="003A56ED"/>
    <w:rsid w:val="003A7DCC"/>
    <w:rsid w:val="003B0B9F"/>
    <w:rsid w:val="003B0E5F"/>
    <w:rsid w:val="003B1F3D"/>
    <w:rsid w:val="003B3526"/>
    <w:rsid w:val="003B3950"/>
    <w:rsid w:val="003B3D0C"/>
    <w:rsid w:val="003B4503"/>
    <w:rsid w:val="003B4A83"/>
    <w:rsid w:val="003B4FCF"/>
    <w:rsid w:val="003B50CC"/>
    <w:rsid w:val="003B6EDB"/>
    <w:rsid w:val="003B7B9D"/>
    <w:rsid w:val="003C1BB0"/>
    <w:rsid w:val="003C26B0"/>
    <w:rsid w:val="003C354C"/>
    <w:rsid w:val="003D053A"/>
    <w:rsid w:val="003D319C"/>
    <w:rsid w:val="003D4A3E"/>
    <w:rsid w:val="003D627F"/>
    <w:rsid w:val="003E0359"/>
    <w:rsid w:val="003E46DC"/>
    <w:rsid w:val="003E5457"/>
    <w:rsid w:val="003E5749"/>
    <w:rsid w:val="003E5B9A"/>
    <w:rsid w:val="003E7210"/>
    <w:rsid w:val="003E78FD"/>
    <w:rsid w:val="003F26B3"/>
    <w:rsid w:val="003F36D6"/>
    <w:rsid w:val="003F399E"/>
    <w:rsid w:val="003F3E76"/>
    <w:rsid w:val="003F559C"/>
    <w:rsid w:val="003F6411"/>
    <w:rsid w:val="003F6B1A"/>
    <w:rsid w:val="004004F3"/>
    <w:rsid w:val="00401B64"/>
    <w:rsid w:val="004023A1"/>
    <w:rsid w:val="00402724"/>
    <w:rsid w:val="00405363"/>
    <w:rsid w:val="00407BF7"/>
    <w:rsid w:val="00413537"/>
    <w:rsid w:val="00414A79"/>
    <w:rsid w:val="00417856"/>
    <w:rsid w:val="004208BE"/>
    <w:rsid w:val="00423B3D"/>
    <w:rsid w:val="004264BC"/>
    <w:rsid w:val="00435ACB"/>
    <w:rsid w:val="00441643"/>
    <w:rsid w:val="00442B7B"/>
    <w:rsid w:val="00443F01"/>
    <w:rsid w:val="00444A93"/>
    <w:rsid w:val="00445DF0"/>
    <w:rsid w:val="00446B33"/>
    <w:rsid w:val="00446BD5"/>
    <w:rsid w:val="0045007B"/>
    <w:rsid w:val="00450276"/>
    <w:rsid w:val="00453931"/>
    <w:rsid w:val="00453B53"/>
    <w:rsid w:val="00455E76"/>
    <w:rsid w:val="00455F0D"/>
    <w:rsid w:val="00456B34"/>
    <w:rsid w:val="0046032D"/>
    <w:rsid w:val="004607DA"/>
    <w:rsid w:val="0046268E"/>
    <w:rsid w:val="00465216"/>
    <w:rsid w:val="00471742"/>
    <w:rsid w:val="0047363E"/>
    <w:rsid w:val="00474AB2"/>
    <w:rsid w:val="00474B57"/>
    <w:rsid w:val="004756F2"/>
    <w:rsid w:val="00475D40"/>
    <w:rsid w:val="004802CB"/>
    <w:rsid w:val="00481271"/>
    <w:rsid w:val="004828CA"/>
    <w:rsid w:val="004866B4"/>
    <w:rsid w:val="004867B5"/>
    <w:rsid w:val="00486E17"/>
    <w:rsid w:val="00487B3B"/>
    <w:rsid w:val="00487CF7"/>
    <w:rsid w:val="00493C27"/>
    <w:rsid w:val="00495017"/>
    <w:rsid w:val="0049526E"/>
    <w:rsid w:val="00496080"/>
    <w:rsid w:val="004A1F07"/>
    <w:rsid w:val="004A2B38"/>
    <w:rsid w:val="004A600F"/>
    <w:rsid w:val="004A79C9"/>
    <w:rsid w:val="004B1E52"/>
    <w:rsid w:val="004B2BA3"/>
    <w:rsid w:val="004B3570"/>
    <w:rsid w:val="004B3D60"/>
    <w:rsid w:val="004B3E86"/>
    <w:rsid w:val="004B4A4A"/>
    <w:rsid w:val="004B5813"/>
    <w:rsid w:val="004C36CA"/>
    <w:rsid w:val="004C430C"/>
    <w:rsid w:val="004C43DA"/>
    <w:rsid w:val="004C6758"/>
    <w:rsid w:val="004D05C7"/>
    <w:rsid w:val="004D1EF6"/>
    <w:rsid w:val="004D3106"/>
    <w:rsid w:val="004E0D83"/>
    <w:rsid w:val="004E26A9"/>
    <w:rsid w:val="004E3A9E"/>
    <w:rsid w:val="004F12F7"/>
    <w:rsid w:val="004F229D"/>
    <w:rsid w:val="004F3451"/>
    <w:rsid w:val="004F4A6C"/>
    <w:rsid w:val="004F6C0A"/>
    <w:rsid w:val="004F762B"/>
    <w:rsid w:val="004F7D21"/>
    <w:rsid w:val="005021AE"/>
    <w:rsid w:val="005029AB"/>
    <w:rsid w:val="00503256"/>
    <w:rsid w:val="00503264"/>
    <w:rsid w:val="0050345C"/>
    <w:rsid w:val="0051551F"/>
    <w:rsid w:val="00515F79"/>
    <w:rsid w:val="00520D68"/>
    <w:rsid w:val="00521427"/>
    <w:rsid w:val="00524030"/>
    <w:rsid w:val="005270AB"/>
    <w:rsid w:val="005327ED"/>
    <w:rsid w:val="005328E3"/>
    <w:rsid w:val="00532B88"/>
    <w:rsid w:val="005349AD"/>
    <w:rsid w:val="00534F47"/>
    <w:rsid w:val="00540362"/>
    <w:rsid w:val="0054083C"/>
    <w:rsid w:val="005409D2"/>
    <w:rsid w:val="00541EA8"/>
    <w:rsid w:val="00545571"/>
    <w:rsid w:val="0055030D"/>
    <w:rsid w:val="00551F24"/>
    <w:rsid w:val="0055222C"/>
    <w:rsid w:val="0055236A"/>
    <w:rsid w:val="005534FC"/>
    <w:rsid w:val="00554E71"/>
    <w:rsid w:val="00554FAA"/>
    <w:rsid w:val="00556AB7"/>
    <w:rsid w:val="00557840"/>
    <w:rsid w:val="0056007E"/>
    <w:rsid w:val="00560769"/>
    <w:rsid w:val="00560879"/>
    <w:rsid w:val="005634CA"/>
    <w:rsid w:val="00565880"/>
    <w:rsid w:val="005666FE"/>
    <w:rsid w:val="0057164F"/>
    <w:rsid w:val="00571CD6"/>
    <w:rsid w:val="0057477B"/>
    <w:rsid w:val="005752A9"/>
    <w:rsid w:val="0057654F"/>
    <w:rsid w:val="0058541B"/>
    <w:rsid w:val="00585CBB"/>
    <w:rsid w:val="0058646A"/>
    <w:rsid w:val="0058717E"/>
    <w:rsid w:val="00592478"/>
    <w:rsid w:val="00592505"/>
    <w:rsid w:val="005925F4"/>
    <w:rsid w:val="00593A62"/>
    <w:rsid w:val="00597A1A"/>
    <w:rsid w:val="005A1343"/>
    <w:rsid w:val="005A2317"/>
    <w:rsid w:val="005A272B"/>
    <w:rsid w:val="005A2842"/>
    <w:rsid w:val="005A44C8"/>
    <w:rsid w:val="005A7A84"/>
    <w:rsid w:val="005B13AF"/>
    <w:rsid w:val="005B1D8B"/>
    <w:rsid w:val="005B5F85"/>
    <w:rsid w:val="005B6C17"/>
    <w:rsid w:val="005C2A50"/>
    <w:rsid w:val="005C2BC7"/>
    <w:rsid w:val="005C4C12"/>
    <w:rsid w:val="005C5B25"/>
    <w:rsid w:val="005C62D2"/>
    <w:rsid w:val="005C659E"/>
    <w:rsid w:val="005C73BE"/>
    <w:rsid w:val="005C754E"/>
    <w:rsid w:val="005C7DD7"/>
    <w:rsid w:val="005D3678"/>
    <w:rsid w:val="005D6323"/>
    <w:rsid w:val="005D7A63"/>
    <w:rsid w:val="005E03AC"/>
    <w:rsid w:val="005E527A"/>
    <w:rsid w:val="005E5320"/>
    <w:rsid w:val="005E5CA1"/>
    <w:rsid w:val="005E69A6"/>
    <w:rsid w:val="005F17FB"/>
    <w:rsid w:val="005F3192"/>
    <w:rsid w:val="005F5938"/>
    <w:rsid w:val="005F5FD1"/>
    <w:rsid w:val="00603D40"/>
    <w:rsid w:val="00605295"/>
    <w:rsid w:val="0060691A"/>
    <w:rsid w:val="00606AD3"/>
    <w:rsid w:val="00610163"/>
    <w:rsid w:val="00613401"/>
    <w:rsid w:val="00614231"/>
    <w:rsid w:val="00615C8A"/>
    <w:rsid w:val="0061660B"/>
    <w:rsid w:val="00623C12"/>
    <w:rsid w:val="00625D3A"/>
    <w:rsid w:val="0062693B"/>
    <w:rsid w:val="00627274"/>
    <w:rsid w:val="0063259A"/>
    <w:rsid w:val="00632DE2"/>
    <w:rsid w:val="0063391C"/>
    <w:rsid w:val="00633DFD"/>
    <w:rsid w:val="006352CC"/>
    <w:rsid w:val="006376E5"/>
    <w:rsid w:val="00641796"/>
    <w:rsid w:val="006437A4"/>
    <w:rsid w:val="006468E2"/>
    <w:rsid w:val="006519FB"/>
    <w:rsid w:val="006524E7"/>
    <w:rsid w:val="00663D3D"/>
    <w:rsid w:val="00663F35"/>
    <w:rsid w:val="006664E7"/>
    <w:rsid w:val="00666AE0"/>
    <w:rsid w:val="0067110F"/>
    <w:rsid w:val="00671996"/>
    <w:rsid w:val="00672536"/>
    <w:rsid w:val="00674F0A"/>
    <w:rsid w:val="006757ED"/>
    <w:rsid w:val="00676C13"/>
    <w:rsid w:val="006818E5"/>
    <w:rsid w:val="006819B6"/>
    <w:rsid w:val="00682A1D"/>
    <w:rsid w:val="00685CF0"/>
    <w:rsid w:val="00686A82"/>
    <w:rsid w:val="006903D5"/>
    <w:rsid w:val="00690449"/>
    <w:rsid w:val="006919F9"/>
    <w:rsid w:val="006979DD"/>
    <w:rsid w:val="006A1A56"/>
    <w:rsid w:val="006A266E"/>
    <w:rsid w:val="006A47E1"/>
    <w:rsid w:val="006A5CD4"/>
    <w:rsid w:val="006A6FAA"/>
    <w:rsid w:val="006B0EDC"/>
    <w:rsid w:val="006B2174"/>
    <w:rsid w:val="006B565E"/>
    <w:rsid w:val="006B58F6"/>
    <w:rsid w:val="006B6967"/>
    <w:rsid w:val="006B7015"/>
    <w:rsid w:val="006B70AC"/>
    <w:rsid w:val="006B7580"/>
    <w:rsid w:val="006C4087"/>
    <w:rsid w:val="006C7078"/>
    <w:rsid w:val="006C71E3"/>
    <w:rsid w:val="006C71EB"/>
    <w:rsid w:val="006D14F0"/>
    <w:rsid w:val="006D1B00"/>
    <w:rsid w:val="006D69DC"/>
    <w:rsid w:val="006D780B"/>
    <w:rsid w:val="006D7954"/>
    <w:rsid w:val="006E08CA"/>
    <w:rsid w:val="006E263D"/>
    <w:rsid w:val="006E3C3D"/>
    <w:rsid w:val="006E7A15"/>
    <w:rsid w:val="006F1AB9"/>
    <w:rsid w:val="006F6106"/>
    <w:rsid w:val="00700508"/>
    <w:rsid w:val="0070168B"/>
    <w:rsid w:val="007018DD"/>
    <w:rsid w:val="00702B5B"/>
    <w:rsid w:val="00703DB8"/>
    <w:rsid w:val="00707918"/>
    <w:rsid w:val="00712CEC"/>
    <w:rsid w:val="00713AE2"/>
    <w:rsid w:val="0072083E"/>
    <w:rsid w:val="00721BF0"/>
    <w:rsid w:val="00727EE5"/>
    <w:rsid w:val="00733F9F"/>
    <w:rsid w:val="0073755C"/>
    <w:rsid w:val="00737B6D"/>
    <w:rsid w:val="0074384D"/>
    <w:rsid w:val="00744D78"/>
    <w:rsid w:val="00745D27"/>
    <w:rsid w:val="00750604"/>
    <w:rsid w:val="007512DD"/>
    <w:rsid w:val="00753693"/>
    <w:rsid w:val="0075636E"/>
    <w:rsid w:val="0076009B"/>
    <w:rsid w:val="0076529B"/>
    <w:rsid w:val="007702EB"/>
    <w:rsid w:val="007709AE"/>
    <w:rsid w:val="00770C71"/>
    <w:rsid w:val="007716F4"/>
    <w:rsid w:val="00772C49"/>
    <w:rsid w:val="00776237"/>
    <w:rsid w:val="0077702D"/>
    <w:rsid w:val="007775BF"/>
    <w:rsid w:val="00780838"/>
    <w:rsid w:val="0078182D"/>
    <w:rsid w:val="00784555"/>
    <w:rsid w:val="00785871"/>
    <w:rsid w:val="00787155"/>
    <w:rsid w:val="00790B65"/>
    <w:rsid w:val="00792695"/>
    <w:rsid w:val="00793BC6"/>
    <w:rsid w:val="007946EE"/>
    <w:rsid w:val="00795B7E"/>
    <w:rsid w:val="00796FDA"/>
    <w:rsid w:val="00797D1B"/>
    <w:rsid w:val="007A22B7"/>
    <w:rsid w:val="007A615D"/>
    <w:rsid w:val="007B0609"/>
    <w:rsid w:val="007B164E"/>
    <w:rsid w:val="007B288C"/>
    <w:rsid w:val="007B3129"/>
    <w:rsid w:val="007B34CD"/>
    <w:rsid w:val="007B48C0"/>
    <w:rsid w:val="007C0668"/>
    <w:rsid w:val="007C21B2"/>
    <w:rsid w:val="007C41E7"/>
    <w:rsid w:val="007C5220"/>
    <w:rsid w:val="007C58B6"/>
    <w:rsid w:val="007D26F2"/>
    <w:rsid w:val="007D57EE"/>
    <w:rsid w:val="007D5BAC"/>
    <w:rsid w:val="007D6ACC"/>
    <w:rsid w:val="007E1017"/>
    <w:rsid w:val="007E3C5D"/>
    <w:rsid w:val="007E4897"/>
    <w:rsid w:val="007E548B"/>
    <w:rsid w:val="007E58B7"/>
    <w:rsid w:val="007E6178"/>
    <w:rsid w:val="007F0C81"/>
    <w:rsid w:val="007F3789"/>
    <w:rsid w:val="007F5E3F"/>
    <w:rsid w:val="00800ED5"/>
    <w:rsid w:val="00801659"/>
    <w:rsid w:val="00802FC1"/>
    <w:rsid w:val="0080342F"/>
    <w:rsid w:val="008041CE"/>
    <w:rsid w:val="008066F5"/>
    <w:rsid w:val="00811CFB"/>
    <w:rsid w:val="00811E78"/>
    <w:rsid w:val="00812316"/>
    <w:rsid w:val="00812921"/>
    <w:rsid w:val="00812D15"/>
    <w:rsid w:val="00814414"/>
    <w:rsid w:val="00816B43"/>
    <w:rsid w:val="008208F1"/>
    <w:rsid w:val="0082117B"/>
    <w:rsid w:val="0082147A"/>
    <w:rsid w:val="00821500"/>
    <w:rsid w:val="00821ECD"/>
    <w:rsid w:val="00826E6A"/>
    <w:rsid w:val="00830CF9"/>
    <w:rsid w:val="00831476"/>
    <w:rsid w:val="00832356"/>
    <w:rsid w:val="00833F59"/>
    <w:rsid w:val="008358ED"/>
    <w:rsid w:val="00837DEE"/>
    <w:rsid w:val="00840D1A"/>
    <w:rsid w:val="00840F67"/>
    <w:rsid w:val="00842FED"/>
    <w:rsid w:val="00843683"/>
    <w:rsid w:val="0084370B"/>
    <w:rsid w:val="00846380"/>
    <w:rsid w:val="00847495"/>
    <w:rsid w:val="00856F9A"/>
    <w:rsid w:val="00857810"/>
    <w:rsid w:val="00861819"/>
    <w:rsid w:val="00864EFD"/>
    <w:rsid w:val="00866E19"/>
    <w:rsid w:val="0087188C"/>
    <w:rsid w:val="00871A70"/>
    <w:rsid w:val="00875EAF"/>
    <w:rsid w:val="00877435"/>
    <w:rsid w:val="00884747"/>
    <w:rsid w:val="008866AB"/>
    <w:rsid w:val="00891098"/>
    <w:rsid w:val="00891C22"/>
    <w:rsid w:val="00892EC2"/>
    <w:rsid w:val="00893545"/>
    <w:rsid w:val="00897C57"/>
    <w:rsid w:val="008A0175"/>
    <w:rsid w:val="008A34CF"/>
    <w:rsid w:val="008A562B"/>
    <w:rsid w:val="008A6018"/>
    <w:rsid w:val="008A7BFB"/>
    <w:rsid w:val="008B5B17"/>
    <w:rsid w:val="008C29A9"/>
    <w:rsid w:val="008C2D5E"/>
    <w:rsid w:val="008C66BB"/>
    <w:rsid w:val="008D22FF"/>
    <w:rsid w:val="008D2C60"/>
    <w:rsid w:val="008D6D82"/>
    <w:rsid w:val="008D7866"/>
    <w:rsid w:val="008E0774"/>
    <w:rsid w:val="008E1DA8"/>
    <w:rsid w:val="008E5629"/>
    <w:rsid w:val="008E572F"/>
    <w:rsid w:val="008E7C84"/>
    <w:rsid w:val="008F235B"/>
    <w:rsid w:val="008F7474"/>
    <w:rsid w:val="00900091"/>
    <w:rsid w:val="00903F6B"/>
    <w:rsid w:val="00905F52"/>
    <w:rsid w:val="00907111"/>
    <w:rsid w:val="00907DEF"/>
    <w:rsid w:val="0091017A"/>
    <w:rsid w:val="00915769"/>
    <w:rsid w:val="00921A21"/>
    <w:rsid w:val="009239E5"/>
    <w:rsid w:val="0092583C"/>
    <w:rsid w:val="0092684B"/>
    <w:rsid w:val="00927F3D"/>
    <w:rsid w:val="00932D0B"/>
    <w:rsid w:val="00935DD2"/>
    <w:rsid w:val="009409CE"/>
    <w:rsid w:val="00941CE0"/>
    <w:rsid w:val="009427D4"/>
    <w:rsid w:val="009443D1"/>
    <w:rsid w:val="0094478E"/>
    <w:rsid w:val="00945914"/>
    <w:rsid w:val="00945A9A"/>
    <w:rsid w:val="009517D5"/>
    <w:rsid w:val="0095467D"/>
    <w:rsid w:val="009549DE"/>
    <w:rsid w:val="00956783"/>
    <w:rsid w:val="00961799"/>
    <w:rsid w:val="00961EE7"/>
    <w:rsid w:val="00964DDB"/>
    <w:rsid w:val="00965C05"/>
    <w:rsid w:val="00966368"/>
    <w:rsid w:val="00967371"/>
    <w:rsid w:val="00972820"/>
    <w:rsid w:val="00974F0E"/>
    <w:rsid w:val="009765AB"/>
    <w:rsid w:val="00977F91"/>
    <w:rsid w:val="00980E36"/>
    <w:rsid w:val="00982CAB"/>
    <w:rsid w:val="00987ABF"/>
    <w:rsid w:val="00991AA5"/>
    <w:rsid w:val="009932A4"/>
    <w:rsid w:val="009963C3"/>
    <w:rsid w:val="009A34EE"/>
    <w:rsid w:val="009A4AFE"/>
    <w:rsid w:val="009A5E88"/>
    <w:rsid w:val="009A64BD"/>
    <w:rsid w:val="009A773A"/>
    <w:rsid w:val="009A7E1E"/>
    <w:rsid w:val="009B039E"/>
    <w:rsid w:val="009B1635"/>
    <w:rsid w:val="009B2746"/>
    <w:rsid w:val="009B2D66"/>
    <w:rsid w:val="009B3438"/>
    <w:rsid w:val="009B5553"/>
    <w:rsid w:val="009C1B06"/>
    <w:rsid w:val="009C628D"/>
    <w:rsid w:val="009C637B"/>
    <w:rsid w:val="009C653C"/>
    <w:rsid w:val="009D156B"/>
    <w:rsid w:val="009D2F5E"/>
    <w:rsid w:val="009D3CC2"/>
    <w:rsid w:val="009D50DA"/>
    <w:rsid w:val="009D5C44"/>
    <w:rsid w:val="009E0989"/>
    <w:rsid w:val="009E0F00"/>
    <w:rsid w:val="009E2660"/>
    <w:rsid w:val="009E3F31"/>
    <w:rsid w:val="009E661F"/>
    <w:rsid w:val="009E7364"/>
    <w:rsid w:val="009E76EC"/>
    <w:rsid w:val="009F0BAB"/>
    <w:rsid w:val="009F2AFA"/>
    <w:rsid w:val="009F3AF9"/>
    <w:rsid w:val="009F4BE7"/>
    <w:rsid w:val="009F68FB"/>
    <w:rsid w:val="009F7C7A"/>
    <w:rsid w:val="00A01F98"/>
    <w:rsid w:val="00A0481F"/>
    <w:rsid w:val="00A0585F"/>
    <w:rsid w:val="00A12631"/>
    <w:rsid w:val="00A1292C"/>
    <w:rsid w:val="00A14B69"/>
    <w:rsid w:val="00A16186"/>
    <w:rsid w:val="00A16BD8"/>
    <w:rsid w:val="00A200D2"/>
    <w:rsid w:val="00A20E20"/>
    <w:rsid w:val="00A3459B"/>
    <w:rsid w:val="00A36530"/>
    <w:rsid w:val="00A41401"/>
    <w:rsid w:val="00A421CB"/>
    <w:rsid w:val="00A428B4"/>
    <w:rsid w:val="00A42E3B"/>
    <w:rsid w:val="00A43D4D"/>
    <w:rsid w:val="00A447F6"/>
    <w:rsid w:val="00A45A7B"/>
    <w:rsid w:val="00A46F90"/>
    <w:rsid w:val="00A47181"/>
    <w:rsid w:val="00A47AB0"/>
    <w:rsid w:val="00A5451D"/>
    <w:rsid w:val="00A55176"/>
    <w:rsid w:val="00A5675B"/>
    <w:rsid w:val="00A57B12"/>
    <w:rsid w:val="00A64896"/>
    <w:rsid w:val="00A64FD9"/>
    <w:rsid w:val="00A65B8B"/>
    <w:rsid w:val="00A6629F"/>
    <w:rsid w:val="00A67779"/>
    <w:rsid w:val="00A67FA1"/>
    <w:rsid w:val="00A707D3"/>
    <w:rsid w:val="00A72697"/>
    <w:rsid w:val="00A731BE"/>
    <w:rsid w:val="00A80E1A"/>
    <w:rsid w:val="00A82383"/>
    <w:rsid w:val="00A8355C"/>
    <w:rsid w:val="00A86157"/>
    <w:rsid w:val="00A87286"/>
    <w:rsid w:val="00A87FBB"/>
    <w:rsid w:val="00A90932"/>
    <w:rsid w:val="00A91336"/>
    <w:rsid w:val="00A92393"/>
    <w:rsid w:val="00A9403B"/>
    <w:rsid w:val="00A94DFC"/>
    <w:rsid w:val="00A959BE"/>
    <w:rsid w:val="00AA1456"/>
    <w:rsid w:val="00AA3F22"/>
    <w:rsid w:val="00AA5818"/>
    <w:rsid w:val="00AA6246"/>
    <w:rsid w:val="00AA7ABB"/>
    <w:rsid w:val="00AA7E3F"/>
    <w:rsid w:val="00AB578C"/>
    <w:rsid w:val="00AB5F4C"/>
    <w:rsid w:val="00AC3B82"/>
    <w:rsid w:val="00AC58F5"/>
    <w:rsid w:val="00AC7E49"/>
    <w:rsid w:val="00AD1315"/>
    <w:rsid w:val="00AD1851"/>
    <w:rsid w:val="00AD30AB"/>
    <w:rsid w:val="00AD4863"/>
    <w:rsid w:val="00AD5023"/>
    <w:rsid w:val="00AD6DC0"/>
    <w:rsid w:val="00AE146D"/>
    <w:rsid w:val="00AE452F"/>
    <w:rsid w:val="00AE7E59"/>
    <w:rsid w:val="00AF19F2"/>
    <w:rsid w:val="00AF4C67"/>
    <w:rsid w:val="00AF6EB4"/>
    <w:rsid w:val="00AF6FC1"/>
    <w:rsid w:val="00AF7770"/>
    <w:rsid w:val="00B06747"/>
    <w:rsid w:val="00B0754E"/>
    <w:rsid w:val="00B1325B"/>
    <w:rsid w:val="00B13DF4"/>
    <w:rsid w:val="00B157F3"/>
    <w:rsid w:val="00B20C5E"/>
    <w:rsid w:val="00B21080"/>
    <w:rsid w:val="00B22B36"/>
    <w:rsid w:val="00B2378B"/>
    <w:rsid w:val="00B23C2E"/>
    <w:rsid w:val="00B24D60"/>
    <w:rsid w:val="00B25748"/>
    <w:rsid w:val="00B26593"/>
    <w:rsid w:val="00B26E5A"/>
    <w:rsid w:val="00B3029E"/>
    <w:rsid w:val="00B3297F"/>
    <w:rsid w:val="00B357F6"/>
    <w:rsid w:val="00B37F83"/>
    <w:rsid w:val="00B41CEB"/>
    <w:rsid w:val="00B42262"/>
    <w:rsid w:val="00B45380"/>
    <w:rsid w:val="00B45BA2"/>
    <w:rsid w:val="00B54830"/>
    <w:rsid w:val="00B553C8"/>
    <w:rsid w:val="00B55522"/>
    <w:rsid w:val="00B571E5"/>
    <w:rsid w:val="00B6085D"/>
    <w:rsid w:val="00B64BBC"/>
    <w:rsid w:val="00B72B96"/>
    <w:rsid w:val="00B72F32"/>
    <w:rsid w:val="00B752B2"/>
    <w:rsid w:val="00B75816"/>
    <w:rsid w:val="00B7665C"/>
    <w:rsid w:val="00B7688E"/>
    <w:rsid w:val="00B840CD"/>
    <w:rsid w:val="00B9356C"/>
    <w:rsid w:val="00B94E08"/>
    <w:rsid w:val="00B95413"/>
    <w:rsid w:val="00B967C4"/>
    <w:rsid w:val="00BA2272"/>
    <w:rsid w:val="00BA507D"/>
    <w:rsid w:val="00BA7C78"/>
    <w:rsid w:val="00BB2859"/>
    <w:rsid w:val="00BB28DE"/>
    <w:rsid w:val="00BB59C6"/>
    <w:rsid w:val="00BC3933"/>
    <w:rsid w:val="00BC4689"/>
    <w:rsid w:val="00BC58C8"/>
    <w:rsid w:val="00BC608D"/>
    <w:rsid w:val="00BC7D13"/>
    <w:rsid w:val="00BD068A"/>
    <w:rsid w:val="00BD1899"/>
    <w:rsid w:val="00BD7AAA"/>
    <w:rsid w:val="00BD7C46"/>
    <w:rsid w:val="00BE07AF"/>
    <w:rsid w:val="00BE07FF"/>
    <w:rsid w:val="00BE1EFF"/>
    <w:rsid w:val="00BE20B0"/>
    <w:rsid w:val="00BE48D6"/>
    <w:rsid w:val="00BF07A4"/>
    <w:rsid w:val="00BF3A5E"/>
    <w:rsid w:val="00BF3CDA"/>
    <w:rsid w:val="00BF3E31"/>
    <w:rsid w:val="00BF4C55"/>
    <w:rsid w:val="00BF534D"/>
    <w:rsid w:val="00BF54BC"/>
    <w:rsid w:val="00BF587E"/>
    <w:rsid w:val="00C00D5D"/>
    <w:rsid w:val="00C02811"/>
    <w:rsid w:val="00C02F03"/>
    <w:rsid w:val="00C04733"/>
    <w:rsid w:val="00C05D59"/>
    <w:rsid w:val="00C066D4"/>
    <w:rsid w:val="00C07C02"/>
    <w:rsid w:val="00C10F55"/>
    <w:rsid w:val="00C12C8E"/>
    <w:rsid w:val="00C1423B"/>
    <w:rsid w:val="00C150E4"/>
    <w:rsid w:val="00C16565"/>
    <w:rsid w:val="00C2052B"/>
    <w:rsid w:val="00C21331"/>
    <w:rsid w:val="00C21CCA"/>
    <w:rsid w:val="00C2423D"/>
    <w:rsid w:val="00C26BE0"/>
    <w:rsid w:val="00C32AB7"/>
    <w:rsid w:val="00C36221"/>
    <w:rsid w:val="00C40B64"/>
    <w:rsid w:val="00C41C47"/>
    <w:rsid w:val="00C41C96"/>
    <w:rsid w:val="00C42DF9"/>
    <w:rsid w:val="00C47F0A"/>
    <w:rsid w:val="00C50B09"/>
    <w:rsid w:val="00C50CBB"/>
    <w:rsid w:val="00C52980"/>
    <w:rsid w:val="00C55403"/>
    <w:rsid w:val="00C602A6"/>
    <w:rsid w:val="00C61BF5"/>
    <w:rsid w:val="00C64329"/>
    <w:rsid w:val="00C65591"/>
    <w:rsid w:val="00C66749"/>
    <w:rsid w:val="00C70520"/>
    <w:rsid w:val="00C70F21"/>
    <w:rsid w:val="00C71611"/>
    <w:rsid w:val="00C72E97"/>
    <w:rsid w:val="00C75F91"/>
    <w:rsid w:val="00C76587"/>
    <w:rsid w:val="00C77B33"/>
    <w:rsid w:val="00C80A33"/>
    <w:rsid w:val="00C83F04"/>
    <w:rsid w:val="00C847B1"/>
    <w:rsid w:val="00C85F8E"/>
    <w:rsid w:val="00C873B5"/>
    <w:rsid w:val="00C90E07"/>
    <w:rsid w:val="00C9126B"/>
    <w:rsid w:val="00C91F23"/>
    <w:rsid w:val="00C935E1"/>
    <w:rsid w:val="00C9606E"/>
    <w:rsid w:val="00C96B20"/>
    <w:rsid w:val="00C973E3"/>
    <w:rsid w:val="00C97B10"/>
    <w:rsid w:val="00CA14B4"/>
    <w:rsid w:val="00CA1714"/>
    <w:rsid w:val="00CA598B"/>
    <w:rsid w:val="00CA697E"/>
    <w:rsid w:val="00CA715D"/>
    <w:rsid w:val="00CB0128"/>
    <w:rsid w:val="00CB1E42"/>
    <w:rsid w:val="00CB243D"/>
    <w:rsid w:val="00CB3999"/>
    <w:rsid w:val="00CB3A54"/>
    <w:rsid w:val="00CC02A9"/>
    <w:rsid w:val="00CC679C"/>
    <w:rsid w:val="00CC706F"/>
    <w:rsid w:val="00CD0B2D"/>
    <w:rsid w:val="00CD3B18"/>
    <w:rsid w:val="00CD5630"/>
    <w:rsid w:val="00CD5F1B"/>
    <w:rsid w:val="00CD6E83"/>
    <w:rsid w:val="00CE2CBB"/>
    <w:rsid w:val="00CE3115"/>
    <w:rsid w:val="00CE3A95"/>
    <w:rsid w:val="00CE5E37"/>
    <w:rsid w:val="00CE6A5D"/>
    <w:rsid w:val="00CE7889"/>
    <w:rsid w:val="00CE7B71"/>
    <w:rsid w:val="00CF5BDA"/>
    <w:rsid w:val="00D0407C"/>
    <w:rsid w:val="00D05E86"/>
    <w:rsid w:val="00D10F9E"/>
    <w:rsid w:val="00D13043"/>
    <w:rsid w:val="00D17702"/>
    <w:rsid w:val="00D17CEC"/>
    <w:rsid w:val="00D22178"/>
    <w:rsid w:val="00D24B64"/>
    <w:rsid w:val="00D2608C"/>
    <w:rsid w:val="00D26626"/>
    <w:rsid w:val="00D3481B"/>
    <w:rsid w:val="00D36592"/>
    <w:rsid w:val="00D41807"/>
    <w:rsid w:val="00D453F2"/>
    <w:rsid w:val="00D47C87"/>
    <w:rsid w:val="00D47DEC"/>
    <w:rsid w:val="00D5523D"/>
    <w:rsid w:val="00D55D1C"/>
    <w:rsid w:val="00D569B5"/>
    <w:rsid w:val="00D60E77"/>
    <w:rsid w:val="00D62694"/>
    <w:rsid w:val="00D63C4E"/>
    <w:rsid w:val="00D702FC"/>
    <w:rsid w:val="00D70A1D"/>
    <w:rsid w:val="00D73DEA"/>
    <w:rsid w:val="00D747DD"/>
    <w:rsid w:val="00D75B7D"/>
    <w:rsid w:val="00D76C6A"/>
    <w:rsid w:val="00D77366"/>
    <w:rsid w:val="00D80F52"/>
    <w:rsid w:val="00D85443"/>
    <w:rsid w:val="00D86112"/>
    <w:rsid w:val="00D86EEB"/>
    <w:rsid w:val="00D920B3"/>
    <w:rsid w:val="00DA23D2"/>
    <w:rsid w:val="00DA3371"/>
    <w:rsid w:val="00DA5AFE"/>
    <w:rsid w:val="00DB289F"/>
    <w:rsid w:val="00DB3C64"/>
    <w:rsid w:val="00DB446C"/>
    <w:rsid w:val="00DB4A92"/>
    <w:rsid w:val="00DB666C"/>
    <w:rsid w:val="00DC3A92"/>
    <w:rsid w:val="00DD11B5"/>
    <w:rsid w:val="00DD228E"/>
    <w:rsid w:val="00DD5F44"/>
    <w:rsid w:val="00DD67B3"/>
    <w:rsid w:val="00DE242D"/>
    <w:rsid w:val="00DE27C7"/>
    <w:rsid w:val="00DE564D"/>
    <w:rsid w:val="00DF072E"/>
    <w:rsid w:val="00DF3225"/>
    <w:rsid w:val="00DF5121"/>
    <w:rsid w:val="00DF5C44"/>
    <w:rsid w:val="00DF67EC"/>
    <w:rsid w:val="00DF753A"/>
    <w:rsid w:val="00E00A2F"/>
    <w:rsid w:val="00E04394"/>
    <w:rsid w:val="00E04865"/>
    <w:rsid w:val="00E06713"/>
    <w:rsid w:val="00E076CC"/>
    <w:rsid w:val="00E14079"/>
    <w:rsid w:val="00E14504"/>
    <w:rsid w:val="00E145BF"/>
    <w:rsid w:val="00E14C1D"/>
    <w:rsid w:val="00E1500B"/>
    <w:rsid w:val="00E21B57"/>
    <w:rsid w:val="00E21E4E"/>
    <w:rsid w:val="00E23DEA"/>
    <w:rsid w:val="00E32811"/>
    <w:rsid w:val="00E32985"/>
    <w:rsid w:val="00E3333D"/>
    <w:rsid w:val="00E33E97"/>
    <w:rsid w:val="00E33F92"/>
    <w:rsid w:val="00E41A98"/>
    <w:rsid w:val="00E42B46"/>
    <w:rsid w:val="00E42D3E"/>
    <w:rsid w:val="00E462A5"/>
    <w:rsid w:val="00E46D22"/>
    <w:rsid w:val="00E5059A"/>
    <w:rsid w:val="00E5083F"/>
    <w:rsid w:val="00E50BB7"/>
    <w:rsid w:val="00E514A3"/>
    <w:rsid w:val="00E51789"/>
    <w:rsid w:val="00E51BAE"/>
    <w:rsid w:val="00E520DE"/>
    <w:rsid w:val="00E52690"/>
    <w:rsid w:val="00E52C7D"/>
    <w:rsid w:val="00E550CD"/>
    <w:rsid w:val="00E638A0"/>
    <w:rsid w:val="00E64F85"/>
    <w:rsid w:val="00E65F23"/>
    <w:rsid w:val="00E70A99"/>
    <w:rsid w:val="00E70F82"/>
    <w:rsid w:val="00E71386"/>
    <w:rsid w:val="00E72CB3"/>
    <w:rsid w:val="00E75983"/>
    <w:rsid w:val="00E802BA"/>
    <w:rsid w:val="00E81176"/>
    <w:rsid w:val="00E811F5"/>
    <w:rsid w:val="00E917A9"/>
    <w:rsid w:val="00E91AFB"/>
    <w:rsid w:val="00E96573"/>
    <w:rsid w:val="00EA00C0"/>
    <w:rsid w:val="00EA0BEC"/>
    <w:rsid w:val="00EA1E36"/>
    <w:rsid w:val="00EA5734"/>
    <w:rsid w:val="00EA5A52"/>
    <w:rsid w:val="00EA5BF9"/>
    <w:rsid w:val="00EA6F55"/>
    <w:rsid w:val="00EB00B1"/>
    <w:rsid w:val="00EB5AFB"/>
    <w:rsid w:val="00EB68A3"/>
    <w:rsid w:val="00EB716D"/>
    <w:rsid w:val="00EB7E1E"/>
    <w:rsid w:val="00EC08E1"/>
    <w:rsid w:val="00EC42AC"/>
    <w:rsid w:val="00EC5F98"/>
    <w:rsid w:val="00EC6551"/>
    <w:rsid w:val="00EC7110"/>
    <w:rsid w:val="00EC7527"/>
    <w:rsid w:val="00ED152F"/>
    <w:rsid w:val="00ED2E78"/>
    <w:rsid w:val="00ED4F6A"/>
    <w:rsid w:val="00ED51E2"/>
    <w:rsid w:val="00ED652E"/>
    <w:rsid w:val="00ED69F2"/>
    <w:rsid w:val="00ED750A"/>
    <w:rsid w:val="00EE0D46"/>
    <w:rsid w:val="00EE1984"/>
    <w:rsid w:val="00EE6C82"/>
    <w:rsid w:val="00EE6E2F"/>
    <w:rsid w:val="00EE70C5"/>
    <w:rsid w:val="00EF0B26"/>
    <w:rsid w:val="00EF6544"/>
    <w:rsid w:val="00F03C80"/>
    <w:rsid w:val="00F05ADE"/>
    <w:rsid w:val="00F06C69"/>
    <w:rsid w:val="00F107E8"/>
    <w:rsid w:val="00F12B6C"/>
    <w:rsid w:val="00F148FA"/>
    <w:rsid w:val="00F15B73"/>
    <w:rsid w:val="00F204A2"/>
    <w:rsid w:val="00F218DA"/>
    <w:rsid w:val="00F2461A"/>
    <w:rsid w:val="00F2496A"/>
    <w:rsid w:val="00F305DF"/>
    <w:rsid w:val="00F327D8"/>
    <w:rsid w:val="00F32810"/>
    <w:rsid w:val="00F344AA"/>
    <w:rsid w:val="00F3673B"/>
    <w:rsid w:val="00F41CE9"/>
    <w:rsid w:val="00F43308"/>
    <w:rsid w:val="00F464CF"/>
    <w:rsid w:val="00F46AD0"/>
    <w:rsid w:val="00F4764D"/>
    <w:rsid w:val="00F50C66"/>
    <w:rsid w:val="00F54E39"/>
    <w:rsid w:val="00F55787"/>
    <w:rsid w:val="00F615C9"/>
    <w:rsid w:val="00F6561B"/>
    <w:rsid w:val="00F74319"/>
    <w:rsid w:val="00F75629"/>
    <w:rsid w:val="00F77801"/>
    <w:rsid w:val="00F8039D"/>
    <w:rsid w:val="00F820D7"/>
    <w:rsid w:val="00F849CE"/>
    <w:rsid w:val="00F84C9E"/>
    <w:rsid w:val="00F87149"/>
    <w:rsid w:val="00F9158F"/>
    <w:rsid w:val="00F91E6F"/>
    <w:rsid w:val="00F91FB3"/>
    <w:rsid w:val="00F97605"/>
    <w:rsid w:val="00FA092D"/>
    <w:rsid w:val="00FA10F6"/>
    <w:rsid w:val="00FA26BD"/>
    <w:rsid w:val="00FA3CC6"/>
    <w:rsid w:val="00FB0F0C"/>
    <w:rsid w:val="00FB127E"/>
    <w:rsid w:val="00FB15D4"/>
    <w:rsid w:val="00FB2251"/>
    <w:rsid w:val="00FC1C13"/>
    <w:rsid w:val="00FC2169"/>
    <w:rsid w:val="00FC4EE2"/>
    <w:rsid w:val="00FC6C5A"/>
    <w:rsid w:val="00FD1E28"/>
    <w:rsid w:val="00FD38D5"/>
    <w:rsid w:val="00FD3D67"/>
    <w:rsid w:val="00FD7BA1"/>
    <w:rsid w:val="00FE077A"/>
    <w:rsid w:val="00FE1105"/>
    <w:rsid w:val="00FE29C5"/>
    <w:rsid w:val="00FF2264"/>
    <w:rsid w:val="00FF7D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CC7FA94-5BE0-49D4-8C47-03521D55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8C"/>
    <w:pPr>
      <w:jc w:val="both"/>
    </w:pPr>
    <w:rPr>
      <w:rFonts w:ascii="Tw Cen MT" w:hAnsi="Tw Cen MT"/>
      <w:sz w:val="22"/>
    </w:rPr>
  </w:style>
  <w:style w:type="paragraph" w:styleId="Titre1">
    <w:name w:val="heading 1"/>
    <w:basedOn w:val="Normal"/>
    <w:next w:val="Normal"/>
    <w:qFormat/>
    <w:rsid w:val="00AE7633"/>
    <w:pPr>
      <w:keepNext/>
      <w:outlineLvl w:val="0"/>
    </w:pPr>
    <w:rPr>
      <w:szCs w:val="20"/>
    </w:rPr>
  </w:style>
  <w:style w:type="paragraph" w:styleId="Titre4">
    <w:name w:val="heading 4"/>
    <w:basedOn w:val="Normal"/>
    <w:next w:val="Normal"/>
    <w:qFormat/>
    <w:rsid w:val="00AE7633"/>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x-corpsdetextegris">
    <w:name w:val="Ubx - corps de texte gris"/>
    <w:basedOn w:val="Normal"/>
    <w:rsid w:val="0053737C"/>
    <w:rPr>
      <w:color w:val="808080"/>
      <w:lang w:val="cs-CZ"/>
    </w:rPr>
  </w:style>
  <w:style w:type="paragraph" w:styleId="Pieddepage">
    <w:name w:val="footer"/>
    <w:aliases w:val="UBx - Pied de page,bas de page"/>
    <w:basedOn w:val="Normal"/>
    <w:link w:val="PieddepageCar"/>
    <w:uiPriority w:val="99"/>
    <w:rsid w:val="0053737C"/>
    <w:pPr>
      <w:tabs>
        <w:tab w:val="center" w:pos="4536"/>
        <w:tab w:val="right" w:pos="9072"/>
      </w:tabs>
    </w:pPr>
    <w:rPr>
      <w:color w:val="808080"/>
      <w:sz w:val="18"/>
    </w:rPr>
  </w:style>
  <w:style w:type="character" w:customStyle="1" w:styleId="grandeflche">
    <w:name w:val="grande flèche"/>
    <w:rsid w:val="00003E02"/>
    <w:rPr>
      <w:rFonts w:ascii="Wingdings 3" w:hAnsi="Wingdings 3"/>
      <w:color w:val="808080"/>
      <w:sz w:val="32"/>
    </w:rPr>
  </w:style>
  <w:style w:type="paragraph" w:customStyle="1" w:styleId="UBx-titreniveau1">
    <w:name w:val="UBx - titre niveau 1"/>
    <w:basedOn w:val="Normal"/>
    <w:qFormat/>
    <w:rsid w:val="0053737C"/>
    <w:pPr>
      <w:numPr>
        <w:numId w:val="2"/>
      </w:numPr>
    </w:pPr>
    <w:rPr>
      <w:rFonts w:cs="Arial"/>
      <w:b/>
      <w:color w:val="808080"/>
      <w:sz w:val="36"/>
    </w:rPr>
  </w:style>
  <w:style w:type="paragraph" w:styleId="En-tte">
    <w:name w:val="header"/>
    <w:basedOn w:val="Normal"/>
    <w:link w:val="En-tteCar"/>
    <w:uiPriority w:val="99"/>
    <w:rsid w:val="00F74319"/>
    <w:pPr>
      <w:tabs>
        <w:tab w:val="center" w:pos="4536"/>
        <w:tab w:val="right" w:pos="9072"/>
      </w:tabs>
    </w:pPr>
  </w:style>
  <w:style w:type="paragraph" w:customStyle="1" w:styleId="Ubx-titreniveau2">
    <w:name w:val="Ubx - titre niveau 2"/>
    <w:basedOn w:val="Normal"/>
    <w:autoRedefine/>
    <w:qFormat/>
    <w:rsid w:val="0053737C"/>
    <w:pPr>
      <w:numPr>
        <w:numId w:val="3"/>
      </w:numPr>
    </w:pPr>
    <w:rPr>
      <w:rFonts w:cs="Arial"/>
      <w:b/>
      <w:sz w:val="26"/>
    </w:rPr>
  </w:style>
  <w:style w:type="paragraph" w:customStyle="1" w:styleId="UBx-corpsdetexte">
    <w:name w:val="UBx - corps de texte"/>
    <w:basedOn w:val="Normal"/>
    <w:autoRedefine/>
    <w:qFormat/>
    <w:rsid w:val="000B3116"/>
    <w:pPr>
      <w:tabs>
        <w:tab w:val="left" w:pos="2127"/>
      </w:tabs>
      <w:ind w:left="2127" w:hanging="1276"/>
      <w:jc w:val="left"/>
    </w:pPr>
    <w:rPr>
      <w:rFonts w:cs="Arial"/>
      <w:color w:val="000000"/>
    </w:rPr>
  </w:style>
  <w:style w:type="paragraph" w:customStyle="1" w:styleId="UBx-corpsdetextebold">
    <w:name w:val="UBx - corps de texte bold"/>
    <w:basedOn w:val="Normal"/>
    <w:autoRedefine/>
    <w:rsid w:val="0053737C"/>
    <w:rPr>
      <w:b/>
    </w:rPr>
  </w:style>
  <w:style w:type="character" w:customStyle="1" w:styleId="En-tteCar">
    <w:name w:val="En-tête Car"/>
    <w:link w:val="En-tte"/>
    <w:uiPriority w:val="99"/>
    <w:rsid w:val="00F74319"/>
    <w:rPr>
      <w:rFonts w:ascii="Tw Cen MT" w:hAnsi="Tw Cen MT"/>
      <w:sz w:val="22"/>
      <w:szCs w:val="24"/>
    </w:rPr>
  </w:style>
  <w:style w:type="paragraph" w:customStyle="1" w:styleId="Ubx-titreniveau2pourcellulegris">
    <w:name w:val="Ubx - titre niveau 2 pour cellule gris"/>
    <w:basedOn w:val="Normal"/>
    <w:autoRedefine/>
    <w:rsid w:val="004D772C"/>
    <w:rPr>
      <w:b/>
      <w:color w:val="FFFFFF"/>
      <w:sz w:val="26"/>
      <w:lang w:val="cs-CZ"/>
    </w:rPr>
  </w:style>
  <w:style w:type="paragraph" w:customStyle="1" w:styleId="UBx-corpsdetexteboldgris">
    <w:name w:val="UBx - corps de texte bold gris"/>
    <w:basedOn w:val="UBx-corpsdetexte"/>
    <w:autoRedefine/>
    <w:rsid w:val="00F45ACB"/>
    <w:rPr>
      <w:b/>
      <w:color w:val="808080"/>
    </w:rPr>
  </w:style>
  <w:style w:type="paragraph" w:customStyle="1" w:styleId="numrodepage">
    <w:name w:val="numéro de page"/>
    <w:basedOn w:val="Normal"/>
    <w:link w:val="numrodepageCar"/>
    <w:rsid w:val="00F45ACB"/>
    <w:pPr>
      <w:jc w:val="right"/>
    </w:pPr>
    <w:rPr>
      <w:rFonts w:cs="Arial"/>
      <w:color w:val="808080"/>
      <w:sz w:val="16"/>
    </w:rPr>
  </w:style>
  <w:style w:type="character" w:customStyle="1" w:styleId="numrodepageCar">
    <w:name w:val="numéro de page Car"/>
    <w:link w:val="numrodepage"/>
    <w:rsid w:val="00F45ACB"/>
    <w:rPr>
      <w:rFonts w:ascii="Tw Cen MT" w:hAnsi="Tw Cen MT" w:cs="Arial"/>
      <w:color w:val="808080"/>
      <w:sz w:val="16"/>
      <w:szCs w:val="24"/>
      <w:lang w:val="fr-FR" w:eastAsia="fr-FR" w:bidi="ar-SA"/>
    </w:rPr>
  </w:style>
  <w:style w:type="table" w:styleId="Grilledutableau">
    <w:name w:val="Table Grid"/>
    <w:basedOn w:val="TableauNormal"/>
    <w:rsid w:val="00F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x-dateetintitulsdossier">
    <w:name w:val="UBx - date et intitulés dossier"/>
    <w:basedOn w:val="Normal"/>
    <w:autoRedefine/>
    <w:qFormat/>
    <w:rsid w:val="00C03731"/>
    <w:pPr>
      <w:ind w:left="127" w:hanging="14"/>
    </w:pPr>
    <w:rPr>
      <w:rFonts w:cs="Arial"/>
      <w:color w:val="000000"/>
      <w:sz w:val="16"/>
    </w:rPr>
  </w:style>
  <w:style w:type="paragraph" w:customStyle="1" w:styleId="UBx-dateetintitulsdossiergris">
    <w:name w:val="UBx - date et intitulés dossier gris"/>
    <w:basedOn w:val="Normal"/>
    <w:autoRedefine/>
    <w:qFormat/>
    <w:rsid w:val="0091017A"/>
    <w:pPr>
      <w:ind w:right="-70"/>
      <w:jc w:val="right"/>
    </w:pPr>
    <w:rPr>
      <w:rFonts w:cs="Arial"/>
      <w:bCs/>
      <w:color w:val="808080"/>
      <w:sz w:val="16"/>
      <w:szCs w:val="16"/>
    </w:rPr>
  </w:style>
  <w:style w:type="paragraph" w:customStyle="1" w:styleId="UBx-soustitreniveau1">
    <w:name w:val="UBx - sous titre niveau 1"/>
    <w:basedOn w:val="Normal"/>
    <w:rsid w:val="006979D1"/>
    <w:rPr>
      <w:color w:val="808080"/>
      <w:sz w:val="28"/>
    </w:rPr>
  </w:style>
  <w:style w:type="paragraph" w:customStyle="1" w:styleId="UBx-titreparagraphe">
    <w:name w:val="UBx - titre paragraphe"/>
    <w:basedOn w:val="Normal"/>
    <w:link w:val="UBx-titreparagrapheCarCar"/>
    <w:rsid w:val="00AE7633"/>
    <w:pPr>
      <w:numPr>
        <w:numId w:val="1"/>
      </w:numPr>
      <w:ind w:left="0" w:firstLine="0"/>
    </w:pPr>
    <w:rPr>
      <w:rFonts w:cs="Arial"/>
      <w:b/>
      <w:color w:val="000000"/>
    </w:rPr>
  </w:style>
  <w:style w:type="character" w:customStyle="1" w:styleId="UBx-titreparagrapheCarCar">
    <w:name w:val="UBx - titre paragraphe Car Car"/>
    <w:link w:val="UBx-titreparagraphe"/>
    <w:rsid w:val="00AE7633"/>
    <w:rPr>
      <w:rFonts w:ascii="Tw Cen MT" w:hAnsi="Tw Cen MT" w:cs="Arial"/>
      <w:b/>
      <w:color w:val="000000"/>
      <w:sz w:val="22"/>
    </w:rPr>
  </w:style>
  <w:style w:type="paragraph" w:styleId="Textedebulles">
    <w:name w:val="Balloon Text"/>
    <w:basedOn w:val="Normal"/>
    <w:link w:val="TextedebullesCar"/>
    <w:rsid w:val="006D69DC"/>
    <w:rPr>
      <w:rFonts w:ascii="Tahoma" w:hAnsi="Tahoma"/>
      <w:sz w:val="16"/>
      <w:szCs w:val="16"/>
    </w:rPr>
  </w:style>
  <w:style w:type="paragraph" w:customStyle="1" w:styleId="UBx-tableauentte">
    <w:name w:val="UBx - tableau entête"/>
    <w:basedOn w:val="Normal"/>
    <w:rsid w:val="004D772C"/>
    <w:rPr>
      <w:rFonts w:cs="Arial"/>
      <w:color w:val="000000"/>
      <w:sz w:val="16"/>
    </w:rPr>
  </w:style>
  <w:style w:type="character" w:customStyle="1" w:styleId="TextedebullesCar">
    <w:name w:val="Texte de bulles Car"/>
    <w:link w:val="Textedebulles"/>
    <w:rsid w:val="006D69DC"/>
    <w:rPr>
      <w:rFonts w:ascii="Tahoma" w:hAnsi="Tahoma" w:cs="Tahoma"/>
      <w:sz w:val="16"/>
      <w:szCs w:val="16"/>
    </w:rPr>
  </w:style>
  <w:style w:type="character" w:customStyle="1" w:styleId="PieddepageCar">
    <w:name w:val="Pied de page Car"/>
    <w:aliases w:val="UBx - Pied de page Car,bas de page Car"/>
    <w:link w:val="Pieddepage"/>
    <w:uiPriority w:val="99"/>
    <w:rsid w:val="00C75F91"/>
    <w:rPr>
      <w:rFonts w:ascii="Tw Cen MT" w:hAnsi="Tw Cen MT"/>
      <w:color w:val="808080"/>
      <w:sz w:val="18"/>
      <w:szCs w:val="24"/>
    </w:rPr>
  </w:style>
  <w:style w:type="paragraph" w:styleId="Paragraphedeliste">
    <w:name w:val="List Paragraph"/>
    <w:basedOn w:val="Normal"/>
    <w:uiPriority w:val="34"/>
    <w:qFormat/>
    <w:rsid w:val="0010796E"/>
    <w:pPr>
      <w:ind w:left="720"/>
      <w:contextualSpacing/>
    </w:pPr>
  </w:style>
  <w:style w:type="character" w:styleId="Lienhypertexte">
    <w:name w:val="Hyperlink"/>
    <w:basedOn w:val="Policepardfaut"/>
    <w:rsid w:val="00FA26BD"/>
    <w:rPr>
      <w:color w:val="0000FF" w:themeColor="hyperlink"/>
      <w:u w:val="single"/>
    </w:rPr>
  </w:style>
  <w:style w:type="character" w:styleId="Marquedecommentaire">
    <w:name w:val="annotation reference"/>
    <w:basedOn w:val="Policepardfaut"/>
    <w:rsid w:val="003A56ED"/>
    <w:rPr>
      <w:sz w:val="16"/>
      <w:szCs w:val="16"/>
    </w:rPr>
  </w:style>
  <w:style w:type="paragraph" w:styleId="Commentaire">
    <w:name w:val="annotation text"/>
    <w:basedOn w:val="Normal"/>
    <w:link w:val="CommentaireCar"/>
    <w:rsid w:val="003A56ED"/>
    <w:rPr>
      <w:sz w:val="20"/>
      <w:szCs w:val="20"/>
    </w:rPr>
  </w:style>
  <w:style w:type="character" w:customStyle="1" w:styleId="CommentaireCar">
    <w:name w:val="Commentaire Car"/>
    <w:basedOn w:val="Policepardfaut"/>
    <w:link w:val="Commentaire"/>
    <w:rsid w:val="003A56ED"/>
    <w:rPr>
      <w:rFonts w:ascii="Tw Cen MT" w:hAnsi="Tw Cen MT"/>
      <w:sz w:val="20"/>
      <w:szCs w:val="20"/>
    </w:rPr>
  </w:style>
  <w:style w:type="paragraph" w:styleId="Objetducommentaire">
    <w:name w:val="annotation subject"/>
    <w:basedOn w:val="Commentaire"/>
    <w:next w:val="Commentaire"/>
    <w:link w:val="ObjetducommentaireCar"/>
    <w:rsid w:val="003A56ED"/>
    <w:rPr>
      <w:b/>
      <w:bCs/>
    </w:rPr>
  </w:style>
  <w:style w:type="character" w:customStyle="1" w:styleId="ObjetducommentaireCar">
    <w:name w:val="Objet du commentaire Car"/>
    <w:basedOn w:val="CommentaireCar"/>
    <w:link w:val="Objetducommentaire"/>
    <w:rsid w:val="003A56ED"/>
    <w:rPr>
      <w:rFonts w:ascii="Tw Cen MT" w:hAnsi="Tw Cen MT"/>
      <w:b/>
      <w:bCs/>
      <w:sz w:val="20"/>
      <w:szCs w:val="20"/>
    </w:rPr>
  </w:style>
  <w:style w:type="character" w:styleId="Lienhypertextesuivivisit">
    <w:name w:val="FollowedHyperlink"/>
    <w:basedOn w:val="Policepardfaut"/>
    <w:semiHidden/>
    <w:unhideWhenUsed/>
    <w:rsid w:val="003B7B9D"/>
    <w:rPr>
      <w:color w:val="800080" w:themeColor="followedHyperlink"/>
      <w:u w:val="single"/>
    </w:rPr>
  </w:style>
  <w:style w:type="table" w:styleId="TableauGrille5Fonc-Accentuation2">
    <w:name w:val="Grid Table 5 Dark Accent 2"/>
    <w:basedOn w:val="TableauNormal"/>
    <w:uiPriority w:val="50"/>
    <w:rsid w:val="00770C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Liste5Fonc-Accentuation2">
    <w:name w:val="List Table 5 Dark Accent 2"/>
    <w:basedOn w:val="TableauNormal"/>
    <w:uiPriority w:val="50"/>
    <w:rsid w:val="0037140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gende">
    <w:name w:val="caption"/>
    <w:basedOn w:val="Normal"/>
    <w:next w:val="Normal"/>
    <w:unhideWhenUsed/>
    <w:rsid w:val="009239E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068">
      <w:bodyDiv w:val="1"/>
      <w:marLeft w:val="0"/>
      <w:marRight w:val="0"/>
      <w:marTop w:val="0"/>
      <w:marBottom w:val="0"/>
      <w:divBdr>
        <w:top w:val="none" w:sz="0" w:space="0" w:color="auto"/>
        <w:left w:val="none" w:sz="0" w:space="0" w:color="auto"/>
        <w:bottom w:val="none" w:sz="0" w:space="0" w:color="auto"/>
        <w:right w:val="none" w:sz="0" w:space="0" w:color="auto"/>
      </w:divBdr>
    </w:div>
    <w:div w:id="273558296">
      <w:bodyDiv w:val="1"/>
      <w:marLeft w:val="0"/>
      <w:marRight w:val="0"/>
      <w:marTop w:val="0"/>
      <w:marBottom w:val="0"/>
      <w:divBdr>
        <w:top w:val="none" w:sz="0" w:space="0" w:color="auto"/>
        <w:left w:val="none" w:sz="0" w:space="0" w:color="auto"/>
        <w:bottom w:val="none" w:sz="0" w:space="0" w:color="auto"/>
        <w:right w:val="none" w:sz="0" w:space="0" w:color="auto"/>
      </w:divBdr>
    </w:div>
    <w:div w:id="314652563">
      <w:bodyDiv w:val="1"/>
      <w:marLeft w:val="0"/>
      <w:marRight w:val="0"/>
      <w:marTop w:val="0"/>
      <w:marBottom w:val="0"/>
      <w:divBdr>
        <w:top w:val="none" w:sz="0" w:space="0" w:color="auto"/>
        <w:left w:val="none" w:sz="0" w:space="0" w:color="auto"/>
        <w:bottom w:val="none" w:sz="0" w:space="0" w:color="auto"/>
        <w:right w:val="none" w:sz="0" w:space="0" w:color="auto"/>
      </w:divBdr>
    </w:div>
    <w:div w:id="493254532">
      <w:bodyDiv w:val="1"/>
      <w:marLeft w:val="0"/>
      <w:marRight w:val="0"/>
      <w:marTop w:val="0"/>
      <w:marBottom w:val="0"/>
      <w:divBdr>
        <w:top w:val="none" w:sz="0" w:space="0" w:color="auto"/>
        <w:left w:val="none" w:sz="0" w:space="0" w:color="auto"/>
        <w:bottom w:val="none" w:sz="0" w:space="0" w:color="auto"/>
        <w:right w:val="none" w:sz="0" w:space="0" w:color="auto"/>
      </w:divBdr>
    </w:div>
    <w:div w:id="589775774">
      <w:bodyDiv w:val="1"/>
      <w:marLeft w:val="0"/>
      <w:marRight w:val="0"/>
      <w:marTop w:val="0"/>
      <w:marBottom w:val="0"/>
      <w:divBdr>
        <w:top w:val="none" w:sz="0" w:space="0" w:color="auto"/>
        <w:left w:val="none" w:sz="0" w:space="0" w:color="auto"/>
        <w:bottom w:val="none" w:sz="0" w:space="0" w:color="auto"/>
        <w:right w:val="none" w:sz="0" w:space="0" w:color="auto"/>
      </w:divBdr>
    </w:div>
    <w:div w:id="659115997">
      <w:bodyDiv w:val="1"/>
      <w:marLeft w:val="0"/>
      <w:marRight w:val="0"/>
      <w:marTop w:val="0"/>
      <w:marBottom w:val="0"/>
      <w:divBdr>
        <w:top w:val="none" w:sz="0" w:space="0" w:color="auto"/>
        <w:left w:val="none" w:sz="0" w:space="0" w:color="auto"/>
        <w:bottom w:val="none" w:sz="0" w:space="0" w:color="auto"/>
        <w:right w:val="none" w:sz="0" w:space="0" w:color="auto"/>
      </w:divBdr>
    </w:div>
    <w:div w:id="710498373">
      <w:bodyDiv w:val="1"/>
      <w:marLeft w:val="0"/>
      <w:marRight w:val="0"/>
      <w:marTop w:val="0"/>
      <w:marBottom w:val="0"/>
      <w:divBdr>
        <w:top w:val="none" w:sz="0" w:space="0" w:color="auto"/>
        <w:left w:val="none" w:sz="0" w:space="0" w:color="auto"/>
        <w:bottom w:val="none" w:sz="0" w:space="0" w:color="auto"/>
        <w:right w:val="none" w:sz="0" w:space="0" w:color="auto"/>
      </w:divBdr>
    </w:div>
    <w:div w:id="806976071">
      <w:bodyDiv w:val="1"/>
      <w:marLeft w:val="0"/>
      <w:marRight w:val="0"/>
      <w:marTop w:val="0"/>
      <w:marBottom w:val="0"/>
      <w:divBdr>
        <w:top w:val="none" w:sz="0" w:space="0" w:color="auto"/>
        <w:left w:val="none" w:sz="0" w:space="0" w:color="auto"/>
        <w:bottom w:val="none" w:sz="0" w:space="0" w:color="auto"/>
        <w:right w:val="none" w:sz="0" w:space="0" w:color="auto"/>
      </w:divBdr>
    </w:div>
    <w:div w:id="820391001">
      <w:bodyDiv w:val="1"/>
      <w:marLeft w:val="0"/>
      <w:marRight w:val="0"/>
      <w:marTop w:val="0"/>
      <w:marBottom w:val="0"/>
      <w:divBdr>
        <w:top w:val="none" w:sz="0" w:space="0" w:color="auto"/>
        <w:left w:val="none" w:sz="0" w:space="0" w:color="auto"/>
        <w:bottom w:val="none" w:sz="0" w:space="0" w:color="auto"/>
        <w:right w:val="none" w:sz="0" w:space="0" w:color="auto"/>
      </w:divBdr>
    </w:div>
    <w:div w:id="1254247333">
      <w:bodyDiv w:val="1"/>
      <w:marLeft w:val="0"/>
      <w:marRight w:val="0"/>
      <w:marTop w:val="0"/>
      <w:marBottom w:val="0"/>
      <w:divBdr>
        <w:top w:val="none" w:sz="0" w:space="0" w:color="auto"/>
        <w:left w:val="none" w:sz="0" w:space="0" w:color="auto"/>
        <w:bottom w:val="none" w:sz="0" w:space="0" w:color="auto"/>
        <w:right w:val="none" w:sz="0" w:space="0" w:color="auto"/>
      </w:divBdr>
    </w:div>
    <w:div w:id="1303466965">
      <w:bodyDiv w:val="1"/>
      <w:marLeft w:val="0"/>
      <w:marRight w:val="0"/>
      <w:marTop w:val="0"/>
      <w:marBottom w:val="0"/>
      <w:divBdr>
        <w:top w:val="none" w:sz="0" w:space="0" w:color="auto"/>
        <w:left w:val="none" w:sz="0" w:space="0" w:color="auto"/>
        <w:bottom w:val="none" w:sz="0" w:space="0" w:color="auto"/>
        <w:right w:val="none" w:sz="0" w:space="0" w:color="auto"/>
      </w:divBdr>
    </w:div>
    <w:div w:id="1322584324">
      <w:bodyDiv w:val="1"/>
      <w:marLeft w:val="0"/>
      <w:marRight w:val="0"/>
      <w:marTop w:val="0"/>
      <w:marBottom w:val="0"/>
      <w:divBdr>
        <w:top w:val="none" w:sz="0" w:space="0" w:color="auto"/>
        <w:left w:val="none" w:sz="0" w:space="0" w:color="auto"/>
        <w:bottom w:val="none" w:sz="0" w:space="0" w:color="auto"/>
        <w:right w:val="none" w:sz="0" w:space="0" w:color="auto"/>
      </w:divBdr>
    </w:div>
    <w:div w:id="1451588330">
      <w:bodyDiv w:val="1"/>
      <w:marLeft w:val="0"/>
      <w:marRight w:val="0"/>
      <w:marTop w:val="0"/>
      <w:marBottom w:val="0"/>
      <w:divBdr>
        <w:top w:val="none" w:sz="0" w:space="0" w:color="auto"/>
        <w:left w:val="none" w:sz="0" w:space="0" w:color="auto"/>
        <w:bottom w:val="none" w:sz="0" w:space="0" w:color="auto"/>
        <w:right w:val="none" w:sz="0" w:space="0" w:color="auto"/>
      </w:divBdr>
    </w:div>
    <w:div w:id="1478718181">
      <w:bodyDiv w:val="1"/>
      <w:marLeft w:val="0"/>
      <w:marRight w:val="0"/>
      <w:marTop w:val="0"/>
      <w:marBottom w:val="0"/>
      <w:divBdr>
        <w:top w:val="none" w:sz="0" w:space="0" w:color="auto"/>
        <w:left w:val="none" w:sz="0" w:space="0" w:color="auto"/>
        <w:bottom w:val="none" w:sz="0" w:space="0" w:color="auto"/>
        <w:right w:val="none" w:sz="0" w:space="0" w:color="auto"/>
      </w:divBdr>
    </w:div>
    <w:div w:id="1524587709">
      <w:bodyDiv w:val="1"/>
      <w:marLeft w:val="0"/>
      <w:marRight w:val="0"/>
      <w:marTop w:val="0"/>
      <w:marBottom w:val="0"/>
      <w:divBdr>
        <w:top w:val="none" w:sz="0" w:space="0" w:color="auto"/>
        <w:left w:val="none" w:sz="0" w:space="0" w:color="auto"/>
        <w:bottom w:val="none" w:sz="0" w:space="0" w:color="auto"/>
        <w:right w:val="none" w:sz="0" w:space="0" w:color="auto"/>
      </w:divBdr>
    </w:div>
    <w:div w:id="1895114523">
      <w:bodyDiv w:val="1"/>
      <w:marLeft w:val="0"/>
      <w:marRight w:val="0"/>
      <w:marTop w:val="0"/>
      <w:marBottom w:val="0"/>
      <w:divBdr>
        <w:top w:val="none" w:sz="0" w:space="0" w:color="auto"/>
        <w:left w:val="none" w:sz="0" w:space="0" w:color="auto"/>
        <w:bottom w:val="none" w:sz="0" w:space="0" w:color="auto"/>
        <w:right w:val="none" w:sz="0" w:space="0" w:color="auto"/>
      </w:divBdr>
    </w:div>
    <w:div w:id="1910924120">
      <w:bodyDiv w:val="1"/>
      <w:marLeft w:val="0"/>
      <w:marRight w:val="0"/>
      <w:marTop w:val="0"/>
      <w:marBottom w:val="0"/>
      <w:divBdr>
        <w:top w:val="none" w:sz="0" w:space="0" w:color="auto"/>
        <w:left w:val="none" w:sz="0" w:space="0" w:color="auto"/>
        <w:bottom w:val="none" w:sz="0" w:space="0" w:color="auto"/>
        <w:right w:val="none" w:sz="0" w:space="0" w:color="auto"/>
      </w:divBdr>
    </w:div>
    <w:div w:id="20195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xeo.u-bordeaux.fr/nuxeo/nxdoc/default/f9d128c3-dba9-4370-a58c-bb7db9f0490b/view_documents%2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uxeo.u-bordeaux.fr/nuxeo/nxdoc/default/84a47113-1d6c-4ffc-87fb-fa3c70b283da/view_documents" TargetMode="External"/><Relationship Id="rId2" Type="http://schemas.openxmlformats.org/officeDocument/2006/relationships/numbering" Target="numbering.xml"/><Relationship Id="rId16" Type="http://schemas.openxmlformats.org/officeDocument/2006/relationships/hyperlink" Target="https://nuxeo.u-bordeaux.fr/nuxeo/nxdoc/default/2d76289b-8519-4c22-9951-2e3b4d23c0f5/view_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uxeo.u-bordeaux.fr/nuxeo/nxdoc/default/2b41b7c7-11bb-49f9-a4c0-af65728c2bd1/view_document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D437-57CC-41DB-9C4E-932D41F6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1792</Words>
  <Characters>9858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modèle de document</vt:lpstr>
    </vt:vector>
  </TitlesOfParts>
  <Company>DAG</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creator>François Lagarde</dc:creator>
  <cp:lastModifiedBy>François Lagarde</cp:lastModifiedBy>
  <cp:revision>3</cp:revision>
  <cp:lastPrinted>2011-05-23T13:02:00Z</cp:lastPrinted>
  <dcterms:created xsi:type="dcterms:W3CDTF">2017-01-10T13:52:00Z</dcterms:created>
  <dcterms:modified xsi:type="dcterms:W3CDTF">2017-01-10T14:00:00Z</dcterms:modified>
</cp:coreProperties>
</file>